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pStyle w:val="2"/>
        <w:rPr>
          <w:color w:val="auto"/>
          <w:highlight w:val="none"/>
        </w:rPr>
      </w:pPr>
    </w:p>
    <w:p>
      <w:pPr>
        <w:widowControl/>
        <w:spacing w:line="360" w:lineRule="auto"/>
        <w:ind w:right="-26"/>
        <w:jc w:val="center"/>
        <w:textAlignment w:val="bottom"/>
        <w:rPr>
          <w:rFonts w:hAnsi="宋体"/>
          <w:b/>
          <w:color w:val="auto"/>
          <w:sz w:val="72"/>
          <w:highlight w:val="none"/>
        </w:rPr>
      </w:pPr>
    </w:p>
    <w:p>
      <w:pPr>
        <w:snapToGrid w:val="0"/>
        <w:jc w:val="center"/>
        <w:outlineLvl w:val="0"/>
        <w:rPr>
          <w:rFonts w:ascii="黑体" w:hAnsi="华文中宋" w:eastAsia="黑体" w:cs="华文中宋"/>
          <w:b/>
          <w:bCs/>
          <w:color w:val="auto"/>
          <w:sz w:val="72"/>
          <w:szCs w:val="72"/>
          <w:highlight w:val="none"/>
        </w:rPr>
      </w:pPr>
      <w:bookmarkStart w:id="0" w:name="_Toc5586"/>
      <w:r>
        <w:rPr>
          <w:rFonts w:hint="eastAsia" w:ascii="黑体" w:hAnsi="华文中宋" w:eastAsia="黑体" w:cs="华文中宋"/>
          <w:b/>
          <w:bCs/>
          <w:color w:val="auto"/>
          <w:sz w:val="72"/>
          <w:szCs w:val="72"/>
          <w:highlight w:val="none"/>
        </w:rPr>
        <w:t>竞争性磋商文件</w:t>
      </w:r>
      <w:bookmarkEnd w:id="0"/>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2336"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项目名称：松山湖国际创新创业社区H1-H3栋智能</w:t>
                            </w:r>
                            <w:r>
                              <w:rPr>
                                <w:rFonts w:hint="eastAsia" w:ascii="黑体" w:hAnsi="黑体" w:eastAsia="黑体" w:cs="黑体"/>
                                <w:b/>
                                <w:sz w:val="32"/>
                                <w:lang w:eastAsia="zh-CN"/>
                              </w:rPr>
                              <w:t>门锁采购</w:t>
                            </w:r>
                            <w:r>
                              <w:rPr>
                                <w:rFonts w:hint="eastAsia" w:ascii="黑体" w:hAnsi="黑体" w:eastAsia="黑体" w:cs="黑体"/>
                                <w:b/>
                                <w:sz w:val="32"/>
                              </w:rPr>
                              <w:t>安装项目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项目编号：TTWY-23024</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4144;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项目名称：松山湖国际创新创业社区H1-H3栋智能</w:t>
                      </w:r>
                      <w:r>
                        <w:rPr>
                          <w:rFonts w:hint="eastAsia" w:ascii="黑体" w:hAnsi="黑体" w:eastAsia="黑体" w:cs="黑体"/>
                          <w:b/>
                          <w:sz w:val="32"/>
                          <w:lang w:eastAsia="zh-CN"/>
                        </w:rPr>
                        <w:t>门锁采购</w:t>
                      </w:r>
                      <w:r>
                        <w:rPr>
                          <w:rFonts w:hint="eastAsia" w:ascii="黑体" w:hAnsi="黑体" w:eastAsia="黑体" w:cs="黑体"/>
                          <w:b/>
                          <w:sz w:val="32"/>
                        </w:rPr>
                        <w:t>安装项目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项目编号：TTWY-23024</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2"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outlineLvl w:val="0"/>
        <w:rPr>
          <w:rFonts w:ascii="黑体" w:hAnsi="黑体" w:eastAsia="黑体" w:cs="黑体"/>
          <w:b/>
          <w:color w:val="auto"/>
          <w:sz w:val="32"/>
          <w:highlight w:val="none"/>
        </w:rPr>
      </w:pPr>
      <w:bookmarkStart w:id="1" w:name="_Toc21437"/>
      <w:r>
        <w:rPr>
          <w:rFonts w:hint="eastAsia" w:ascii="黑体" w:hAnsi="黑体" w:eastAsia="黑体" w:cs="黑体"/>
          <w:b/>
          <w:color w:val="auto"/>
          <w:sz w:val="32"/>
          <w:highlight w:val="none"/>
        </w:rPr>
        <w:t>广东泰通伟业工程咨询有限公司</w:t>
      </w:r>
      <w:bookmarkEnd w:id="1"/>
      <w:r>
        <w:rPr>
          <w:rFonts w:hint="eastAsia" w:ascii="黑体" w:hAnsi="黑体" w:eastAsia="黑体" w:cs="黑体"/>
          <w:b/>
          <w:color w:val="auto"/>
          <w:sz w:val="32"/>
          <w:highlight w:val="none"/>
        </w:rPr>
        <w:t xml:space="preserve">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二〇二三年</w:t>
      </w:r>
      <w:r>
        <w:rPr>
          <w:rFonts w:hint="eastAsia" w:ascii="黑体" w:hAnsi="黑体" w:eastAsia="黑体" w:cs="黑体"/>
          <w:b/>
          <w:color w:val="auto"/>
          <w:sz w:val="32"/>
          <w:highlight w:val="none"/>
          <w:lang w:eastAsia="zh-CN"/>
        </w:rPr>
        <w:t>四</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pPr>
        <w:spacing w:line="360" w:lineRule="auto"/>
        <w:ind w:left="48" w:leftChars="20"/>
        <w:jc w:val="center"/>
        <w:rPr>
          <w:rFonts w:ascii="黑体" w:hAnsi="黑体" w:eastAsia="黑体" w:cs="黑体"/>
          <w:color w:val="auto"/>
          <w:sz w:val="32"/>
          <w:szCs w:val="32"/>
          <w:highlight w:val="none"/>
        </w:rPr>
      </w:pPr>
      <w:bookmarkStart w:id="3"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outlineLvl w:val="0"/>
        <w:rPr>
          <w:rFonts w:ascii="黑体" w:hAnsi="黑体" w:eastAsia="黑体" w:cs="黑体"/>
          <w:color w:val="auto"/>
          <w:highlight w:val="none"/>
        </w:rPr>
      </w:pPr>
      <w:bookmarkStart w:id="4" w:name="_Toc17927"/>
      <w:r>
        <w:rPr>
          <w:rFonts w:hint="eastAsia" w:ascii="黑体" w:hAnsi="黑体" w:eastAsia="黑体" w:cs="黑体"/>
          <w:color w:val="auto"/>
          <w:highlight w:val="none"/>
        </w:rPr>
        <w:t>磋商响应文件应按顺序编制页码。</w:t>
      </w:r>
      <w:bookmarkEnd w:id="4"/>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8"/>
        <w:ind w:firstLine="643"/>
        <w:rPr>
          <w:rFonts w:hAnsi="宋体"/>
          <w:b/>
          <w:bCs/>
          <w:color w:val="auto"/>
          <w:sz w:val="32"/>
          <w:szCs w:val="32"/>
          <w:highlight w:val="none"/>
          <w:lang w:val="zh-CN"/>
        </w:rPr>
        <w:sectPr>
          <w:headerReference r:id="rId7" w:type="default"/>
          <w:footerReference r:id="rId8" w:type="default"/>
          <w:pgSz w:w="11906" w:h="16838"/>
          <w:pgMar w:top="1440" w:right="1800" w:bottom="1440" w:left="1800" w:header="851" w:footer="992" w:gutter="0"/>
          <w:pgNumType w:fmt="decimal" w:start="2"/>
          <w:cols w:space="425" w:num="1"/>
          <w:docGrid w:type="lines" w:linePitch="312" w:charSpace="0"/>
        </w:sectPr>
      </w:pPr>
    </w:p>
    <w:p>
      <w:pPr>
        <w:rPr>
          <w:color w:val="auto"/>
          <w:highlight w:val="none"/>
        </w:rPr>
      </w:pPr>
    </w:p>
    <w:p>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5" w:name="_Toc396137229"/>
    </w:p>
    <w:sdt>
      <w:sdtPr>
        <w:rPr>
          <w:rFonts w:hAnsi="宋体"/>
          <w:b/>
          <w:bCs/>
          <w:color w:val="auto"/>
          <w:sz w:val="36"/>
          <w:szCs w:val="44"/>
          <w:highlight w:val="none"/>
        </w:rPr>
        <w:id w:val="147463129"/>
        <w15:color w:val="DBDBDB"/>
        <w:docPartObj>
          <w:docPartGallery w:val="Table of Contents"/>
          <w:docPartUnique/>
        </w:docPartObj>
      </w:sdtPr>
      <w:sdtEndPr>
        <w:rPr>
          <w:rFonts w:hAnsi="宋体"/>
          <w:b/>
          <w:bCs/>
          <w:color w:val="auto"/>
          <w:sz w:val="36"/>
          <w:szCs w:val="44"/>
          <w:highlight w:val="none"/>
        </w:rPr>
      </w:sdtEndPr>
      <w:sdtContent>
        <w:p>
          <w:pPr>
            <w:spacing w:line="360" w:lineRule="auto"/>
            <w:jc w:val="both"/>
            <w:rPr>
              <w:b/>
              <w:bCs/>
              <w:color w:val="auto"/>
              <w:sz w:val="44"/>
              <w:szCs w:val="44"/>
              <w:highlight w:val="none"/>
            </w:rPr>
          </w:pPr>
        </w:p>
        <w:p>
          <w:pPr>
            <w:pStyle w:val="185"/>
            <w:tabs>
              <w:tab w:val="right" w:leader="dot" w:pos="8306"/>
            </w:tabs>
            <w:spacing w:line="360" w:lineRule="auto"/>
            <w:jc w:val="center"/>
            <w:rPr>
              <w:b/>
              <w:bCs/>
              <w:color w:val="auto"/>
              <w:sz w:val="32"/>
              <w:szCs w:val="32"/>
              <w:highlight w:val="none"/>
            </w:rPr>
          </w:pPr>
          <w:r>
            <w:rPr>
              <w:b/>
              <w:bCs/>
              <w:color w:val="auto"/>
              <w:sz w:val="32"/>
              <w:szCs w:val="32"/>
              <w:highlight w:val="none"/>
            </w:rPr>
            <w:fldChar w:fldCharType="begin"/>
          </w:r>
          <w:r>
            <w:rPr>
              <w:b/>
              <w:bCs/>
              <w:color w:val="auto"/>
              <w:sz w:val="32"/>
              <w:szCs w:val="32"/>
              <w:highlight w:val="none"/>
            </w:rPr>
            <w:instrText xml:space="preserve">TOC \o "1-1" \h \u </w:instrText>
          </w:r>
          <w:r>
            <w:rPr>
              <w:b/>
              <w:bCs/>
              <w:color w:val="auto"/>
              <w:sz w:val="32"/>
              <w:szCs w:val="32"/>
              <w:highlight w:val="none"/>
            </w:rPr>
            <w:fldChar w:fldCharType="separate"/>
          </w:r>
          <w:r>
            <w:rPr>
              <w:color w:val="auto"/>
              <w:highlight w:val="none"/>
            </w:rPr>
            <w:fldChar w:fldCharType="begin"/>
          </w:r>
          <w:r>
            <w:rPr>
              <w:color w:val="auto"/>
              <w:highlight w:val="none"/>
            </w:rPr>
            <w:instrText xml:space="preserve"> HYPERLINK \l "_Toc3573" </w:instrText>
          </w:r>
          <w:r>
            <w:rPr>
              <w:color w:val="auto"/>
              <w:highlight w:val="none"/>
            </w:rPr>
            <w:fldChar w:fldCharType="separate"/>
          </w:r>
          <w:r>
            <w:rPr>
              <w:rFonts w:hAnsi="宋体"/>
              <w:b/>
              <w:bCs/>
              <w:color w:val="auto"/>
              <w:kern w:val="44"/>
              <w:sz w:val="32"/>
              <w:szCs w:val="48"/>
              <w:highlight w:val="none"/>
              <w:lang w:val="zh-CN"/>
            </w:rPr>
            <w:t xml:space="preserve">第一篇 </w:t>
          </w:r>
          <w:r>
            <w:rPr>
              <w:rFonts w:hint="eastAsia" w:hAnsi="宋体"/>
              <w:b/>
              <w:bCs/>
              <w:color w:val="auto"/>
              <w:kern w:val="44"/>
              <w:sz w:val="32"/>
              <w:szCs w:val="48"/>
              <w:highlight w:val="none"/>
            </w:rPr>
            <w:t>磋商邀请书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_Toc3573 \h </w:instrText>
          </w:r>
          <w:r>
            <w:rPr>
              <w:b/>
              <w:bCs/>
              <w:color w:val="auto"/>
              <w:sz w:val="32"/>
              <w:szCs w:val="32"/>
              <w:highlight w:val="none"/>
            </w:rPr>
            <w:fldChar w:fldCharType="separate"/>
          </w:r>
          <w:r>
            <w:rPr>
              <w:b/>
              <w:bCs/>
              <w:color w:val="auto"/>
              <w:sz w:val="32"/>
              <w:szCs w:val="32"/>
              <w:highlight w:val="none"/>
            </w:rPr>
            <w:t>4</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"_Toc17779" </w:instrText>
          </w:r>
          <w:r>
            <w:rPr>
              <w:color w:val="auto"/>
              <w:highlight w:val="none"/>
            </w:rPr>
            <w:fldChar w:fldCharType="separate"/>
          </w:r>
          <w:r>
            <w:rPr>
              <w:rFonts w:hAnsi="宋体"/>
              <w:b/>
              <w:bCs/>
              <w:color w:val="auto"/>
              <w:kern w:val="44"/>
              <w:sz w:val="32"/>
              <w:szCs w:val="48"/>
              <w:highlight w:val="none"/>
              <w:lang w:val="zh-CN"/>
            </w:rPr>
            <w:t xml:space="preserve">第二篇 </w:t>
          </w:r>
          <w:r>
            <w:rPr>
              <w:rFonts w:hint="eastAsia" w:hAnsi="宋体"/>
              <w:b/>
              <w:bCs/>
              <w:color w:val="auto"/>
              <w:kern w:val="44"/>
              <w:sz w:val="32"/>
              <w:szCs w:val="48"/>
              <w:highlight w:val="none"/>
              <w:lang w:val="zh-CN"/>
            </w:rPr>
            <w:t>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_Toc17779 \h </w:instrText>
          </w:r>
          <w:r>
            <w:rPr>
              <w:b/>
              <w:bCs/>
              <w:color w:val="auto"/>
              <w:sz w:val="32"/>
              <w:szCs w:val="32"/>
              <w:highlight w:val="none"/>
            </w:rPr>
            <w:fldChar w:fldCharType="separate"/>
          </w:r>
          <w:r>
            <w:rPr>
              <w:b/>
              <w:bCs/>
              <w:color w:val="auto"/>
              <w:sz w:val="32"/>
              <w:szCs w:val="32"/>
              <w:highlight w:val="none"/>
            </w:rPr>
            <w:t>6</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"_Toc22134" </w:instrText>
          </w:r>
          <w:r>
            <w:rPr>
              <w:color w:val="auto"/>
              <w:highlight w:val="none"/>
            </w:rPr>
            <w:fldChar w:fldCharType="separate"/>
          </w:r>
          <w:r>
            <w:rPr>
              <w:rFonts w:hAnsi="宋体"/>
              <w:b/>
              <w:bCs/>
              <w:color w:val="auto"/>
              <w:kern w:val="44"/>
              <w:sz w:val="32"/>
              <w:szCs w:val="48"/>
              <w:highlight w:val="none"/>
              <w:lang w:val="zh-CN"/>
            </w:rPr>
            <w:t xml:space="preserve">第三篇 </w:t>
          </w:r>
          <w:r>
            <w:rPr>
              <w:rFonts w:hint="eastAsia" w:hAnsi="宋体"/>
              <w:b/>
              <w:bCs/>
              <w:color w:val="auto"/>
              <w:kern w:val="44"/>
              <w:sz w:val="32"/>
              <w:szCs w:val="48"/>
              <w:highlight w:val="none"/>
              <w:lang w:val="zh-CN"/>
            </w:rPr>
            <w:t>用户需求书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_Toc22134 \h </w:instrText>
          </w:r>
          <w:r>
            <w:rPr>
              <w:b/>
              <w:bCs/>
              <w:color w:val="auto"/>
              <w:sz w:val="32"/>
              <w:szCs w:val="32"/>
              <w:highlight w:val="none"/>
            </w:rPr>
            <w:fldChar w:fldCharType="separate"/>
          </w:r>
          <w:r>
            <w:rPr>
              <w:b/>
              <w:bCs/>
              <w:color w:val="auto"/>
              <w:sz w:val="32"/>
              <w:szCs w:val="32"/>
              <w:highlight w:val="none"/>
            </w:rPr>
            <w:t>18</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"_Toc28792" </w:instrText>
          </w:r>
          <w:r>
            <w:rPr>
              <w:color w:val="auto"/>
              <w:highlight w:val="none"/>
            </w:rPr>
            <w:fldChar w:fldCharType="separate"/>
          </w:r>
          <w:r>
            <w:rPr>
              <w:rFonts w:hAnsi="宋体"/>
              <w:b/>
              <w:bCs/>
              <w:color w:val="auto"/>
              <w:kern w:val="44"/>
              <w:sz w:val="32"/>
              <w:szCs w:val="48"/>
              <w:highlight w:val="none"/>
              <w:lang w:val="zh-CN"/>
            </w:rPr>
            <w:t xml:space="preserve">第四篇 </w:t>
          </w:r>
          <w:r>
            <w:rPr>
              <w:rFonts w:hint="eastAsia" w:hAnsi="宋体"/>
              <w:b/>
              <w:bCs/>
              <w:color w:val="auto"/>
              <w:kern w:val="44"/>
              <w:sz w:val="32"/>
              <w:szCs w:val="48"/>
              <w:highlight w:val="none"/>
              <w:lang w:val="zh-CN"/>
            </w:rPr>
            <w:t>评审工作大纲</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_Toc28792 \h </w:instrText>
          </w:r>
          <w:r>
            <w:rPr>
              <w:b/>
              <w:bCs/>
              <w:color w:val="auto"/>
              <w:sz w:val="32"/>
              <w:szCs w:val="32"/>
              <w:highlight w:val="none"/>
            </w:rPr>
            <w:fldChar w:fldCharType="separate"/>
          </w:r>
          <w:r>
            <w:rPr>
              <w:b/>
              <w:bCs/>
              <w:color w:val="auto"/>
              <w:sz w:val="32"/>
              <w:szCs w:val="32"/>
              <w:highlight w:val="none"/>
            </w:rPr>
            <w:t>26</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"_Toc3360" </w:instrText>
          </w:r>
          <w:r>
            <w:rPr>
              <w:color w:val="auto"/>
              <w:highlight w:val="none"/>
            </w:rPr>
            <w:fldChar w:fldCharType="separate"/>
          </w:r>
          <w:r>
            <w:rPr>
              <w:rFonts w:hAnsi="宋体"/>
              <w:b/>
              <w:bCs/>
              <w:color w:val="auto"/>
              <w:sz w:val="32"/>
              <w:szCs w:val="32"/>
              <w:highlight w:val="none"/>
            </w:rPr>
            <w:t xml:space="preserve">第五篇 </w:t>
          </w:r>
          <w:r>
            <w:rPr>
              <w:rFonts w:hint="eastAsia" w:hAnsi="宋体"/>
              <w:b/>
              <w:bCs/>
              <w:color w:val="auto"/>
              <w:kern w:val="44"/>
              <w:sz w:val="32"/>
              <w:szCs w:val="48"/>
              <w:highlight w:val="none"/>
              <w:lang w:val="zh-CN"/>
            </w:rPr>
            <w:t>合同条款格式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_Toc3360 \h </w:instrText>
          </w:r>
          <w:r>
            <w:rPr>
              <w:b/>
              <w:bCs/>
              <w:color w:val="auto"/>
              <w:sz w:val="32"/>
              <w:szCs w:val="32"/>
              <w:highlight w:val="none"/>
            </w:rPr>
            <w:fldChar w:fldCharType="separate"/>
          </w:r>
          <w:r>
            <w:rPr>
              <w:b/>
              <w:bCs/>
              <w:color w:val="auto"/>
              <w:sz w:val="32"/>
              <w:szCs w:val="32"/>
              <w:highlight w:val="none"/>
            </w:rPr>
            <w:t>33</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hAnsi="宋体"/>
              <w:b/>
              <w:bCs/>
              <w:color w:val="auto"/>
              <w:kern w:val="44"/>
              <w:sz w:val="32"/>
              <w:szCs w:val="48"/>
              <w:highlight w:val="none"/>
              <w:lang w:val="zh-CN"/>
            </w:rPr>
            <w:t>第六篇磋商响应文件格式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_Toc9129 \h </w:instrText>
          </w:r>
          <w:r>
            <w:rPr>
              <w:b/>
              <w:bCs/>
              <w:color w:val="auto"/>
              <w:sz w:val="32"/>
              <w:szCs w:val="32"/>
              <w:highlight w:val="none"/>
            </w:rPr>
            <w:fldChar w:fldCharType="separate"/>
          </w:r>
          <w:r>
            <w:rPr>
              <w:b/>
              <w:bCs/>
              <w:color w:val="auto"/>
              <w:sz w:val="32"/>
              <w:szCs w:val="32"/>
              <w:highlight w:val="none"/>
            </w:rPr>
            <w:t>50</w:t>
          </w:r>
          <w:r>
            <w:rPr>
              <w:b/>
              <w:bCs/>
              <w:color w:val="auto"/>
              <w:sz w:val="32"/>
              <w:szCs w:val="32"/>
              <w:highlight w:val="none"/>
            </w:rPr>
            <w:fldChar w:fldCharType="end"/>
          </w:r>
          <w:r>
            <w:rPr>
              <w:b/>
              <w:bCs/>
              <w:color w:val="auto"/>
              <w:sz w:val="32"/>
              <w:szCs w:val="32"/>
              <w:highlight w:val="none"/>
            </w:rPr>
            <w:fldChar w:fldCharType="end"/>
          </w:r>
        </w:p>
        <w:p>
          <w:pPr>
            <w:spacing w:line="360" w:lineRule="auto"/>
            <w:jc w:val="center"/>
            <w:rPr>
              <w:color w:val="auto"/>
              <w:highlight w:val="none"/>
            </w:rPr>
          </w:pPr>
          <w:r>
            <w:rPr>
              <w:b/>
              <w:bCs/>
              <w:color w:val="auto"/>
              <w:sz w:val="32"/>
              <w:szCs w:val="32"/>
              <w:highlight w:val="none"/>
            </w:rPr>
            <w:fldChar w:fldCharType="end"/>
          </w:r>
        </w:p>
      </w:sdtContent>
    </w:sdt>
    <w:p>
      <w:pPr>
        <w:jc w:val="center"/>
        <w:rPr>
          <w:color w:val="auto"/>
          <w:highlight w:val="none"/>
        </w:rPr>
      </w:pPr>
      <w:bookmarkStart w:id="303" w:name="_GoBack"/>
      <w:bookmarkEnd w:id="303"/>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5"/>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bookmarkStart w:id="6" w:name="_Toc3573"/>
      <w:r>
        <w:rPr>
          <w:color w:val="auto"/>
          <w:highlight w:val="none"/>
        </w:rPr>
        <w:fldChar w:fldCharType="end"/>
      </w:r>
      <w:bookmarkEnd w:id="5"/>
      <w:r>
        <w:rPr>
          <w:rFonts w:hint="eastAsia" w:hAnsi="宋体"/>
          <w:b/>
          <w:bCs/>
          <w:color w:val="auto"/>
          <w:kern w:val="44"/>
          <w:sz w:val="28"/>
          <w:szCs w:val="28"/>
          <w:highlight w:val="none"/>
        </w:rPr>
        <w:t>磋商邀请书</w:t>
      </w:r>
      <w:bookmarkEnd w:id="3"/>
      <w:bookmarkEnd w:id="6"/>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广东泰通伟业工程咨询有限公司（以下简称“采购代理机构”）受东莞市大学创新城建设发展有限公司（以下简称“采购人”）的委托，为松山湖国际创新创业社区H1-H3栋智能门锁</w:t>
      </w:r>
      <w:r>
        <w:rPr>
          <w:rFonts w:hint="eastAsia" w:hAnsi="宋体"/>
          <w:color w:val="auto"/>
          <w:sz w:val="21"/>
          <w:szCs w:val="21"/>
          <w:highlight w:val="none"/>
          <w:lang w:val="en-US" w:eastAsia="zh-CN"/>
        </w:rPr>
        <w:t>采购</w:t>
      </w:r>
      <w:r>
        <w:rPr>
          <w:rFonts w:hint="eastAsia" w:hAnsi="宋体"/>
          <w:color w:val="auto"/>
          <w:sz w:val="21"/>
          <w:szCs w:val="21"/>
          <w:highlight w:val="none"/>
        </w:rPr>
        <w:t>安装项目(项目编号：TTWY-23024) 采购所需的服务。本项目采用竞争性磋商采购方式，欢迎合格供应商就本项目提交密封磋商。</w:t>
      </w:r>
    </w:p>
    <w:p>
      <w:pPr>
        <w:widowControl/>
        <w:numPr>
          <w:ilvl w:val="0"/>
          <w:numId w:val="11"/>
        </w:numPr>
        <w:adjustRightInd/>
        <w:spacing w:line="360" w:lineRule="auto"/>
        <w:outlineLvl w:val="0"/>
        <w:rPr>
          <w:rFonts w:hAnsi="宋体"/>
          <w:color w:val="auto"/>
          <w:sz w:val="21"/>
          <w:szCs w:val="21"/>
          <w:highlight w:val="none"/>
        </w:rPr>
      </w:pPr>
      <w:bookmarkStart w:id="7" w:name="_Toc12537"/>
      <w:r>
        <w:rPr>
          <w:rFonts w:hint="eastAsia" w:hAnsi="宋体"/>
          <w:b/>
          <w:bCs/>
          <w:color w:val="auto"/>
          <w:kern w:val="28"/>
          <w:sz w:val="21"/>
          <w:szCs w:val="21"/>
          <w:highlight w:val="none"/>
        </w:rPr>
        <w:t>邀请合格供应商就下列所有服务提交密封磋商：</w:t>
      </w:r>
      <w:bookmarkEnd w:id="7"/>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项目名称：松山湖国际创新创业社区H1-H3栋智能门锁</w:t>
      </w:r>
      <w:r>
        <w:rPr>
          <w:rFonts w:hint="eastAsia" w:hAnsi="宋体"/>
          <w:color w:val="auto"/>
          <w:sz w:val="21"/>
          <w:szCs w:val="21"/>
          <w:highlight w:val="none"/>
          <w:lang w:val="en-US" w:eastAsia="zh-CN"/>
        </w:rPr>
        <w:t>采购</w:t>
      </w:r>
      <w:r>
        <w:rPr>
          <w:rFonts w:hint="eastAsia" w:hAnsi="宋体"/>
          <w:color w:val="auto"/>
          <w:sz w:val="21"/>
          <w:szCs w:val="21"/>
          <w:highlight w:val="none"/>
        </w:rPr>
        <w:t>安装项目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项目编号：TTWY-23024</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w:t>
      </w:r>
      <w:r>
        <w:rPr>
          <w:rFonts w:hint="eastAsia" w:hAnsi="宋体"/>
          <w:color w:val="auto"/>
          <w:sz w:val="21"/>
          <w:szCs w:val="21"/>
          <w:highlight w:val="none"/>
          <w:lang w:val="en-US" w:eastAsia="zh-CN"/>
        </w:rPr>
        <w:t>947619.71</w:t>
      </w:r>
      <w:r>
        <w:rPr>
          <w:rFonts w:hint="eastAsia" w:hAnsi="宋体"/>
          <w:color w:val="auto"/>
          <w:sz w:val="21"/>
          <w:szCs w:val="21"/>
          <w:highlight w:val="none"/>
        </w:rPr>
        <w:t>元（大写：人民币</w:t>
      </w:r>
      <w:r>
        <w:rPr>
          <w:rFonts w:hint="eastAsia" w:hAnsi="宋体"/>
          <w:color w:val="auto"/>
          <w:sz w:val="21"/>
          <w:szCs w:val="21"/>
          <w:highlight w:val="none"/>
          <w:lang w:val="en-US" w:eastAsia="zh-CN"/>
        </w:rPr>
        <w:t>玖</w:t>
      </w:r>
      <w:r>
        <w:rPr>
          <w:rFonts w:hint="eastAsia" w:hAnsi="宋体"/>
          <w:color w:val="auto"/>
          <w:sz w:val="21"/>
          <w:szCs w:val="21"/>
          <w:highlight w:val="none"/>
        </w:rPr>
        <w:t>拾肆万柒仟</w:t>
      </w:r>
      <w:r>
        <w:rPr>
          <w:rFonts w:hint="eastAsia" w:hAnsi="宋体"/>
          <w:color w:val="auto"/>
          <w:sz w:val="21"/>
          <w:szCs w:val="21"/>
          <w:highlight w:val="none"/>
          <w:lang w:val="en-US" w:eastAsia="zh-CN"/>
        </w:rPr>
        <w:t>陆</w:t>
      </w:r>
      <w:r>
        <w:rPr>
          <w:rFonts w:hint="eastAsia" w:hAnsi="宋体"/>
          <w:color w:val="auto"/>
          <w:sz w:val="21"/>
          <w:szCs w:val="21"/>
          <w:highlight w:val="none"/>
        </w:rPr>
        <w:t>佰</w:t>
      </w:r>
      <w:r>
        <w:rPr>
          <w:rFonts w:hint="eastAsia" w:hAnsi="宋体"/>
          <w:color w:val="auto"/>
          <w:sz w:val="21"/>
          <w:szCs w:val="21"/>
          <w:highlight w:val="none"/>
          <w:lang w:val="en-US" w:eastAsia="zh-CN"/>
        </w:rPr>
        <w:t>壹</w:t>
      </w:r>
      <w:r>
        <w:rPr>
          <w:rFonts w:hint="eastAsia" w:hAnsi="宋体"/>
          <w:color w:val="auto"/>
          <w:sz w:val="21"/>
          <w:szCs w:val="21"/>
          <w:highlight w:val="none"/>
        </w:rPr>
        <w:t>拾</w:t>
      </w:r>
      <w:r>
        <w:rPr>
          <w:rFonts w:hint="eastAsia" w:hAnsi="宋体"/>
          <w:color w:val="auto"/>
          <w:sz w:val="21"/>
          <w:szCs w:val="21"/>
          <w:highlight w:val="none"/>
          <w:lang w:val="en-US" w:eastAsia="zh-CN"/>
        </w:rPr>
        <w:t>玖</w:t>
      </w:r>
      <w:r>
        <w:rPr>
          <w:rFonts w:hint="eastAsia" w:hAnsi="宋体"/>
          <w:color w:val="auto"/>
          <w:sz w:val="21"/>
          <w:szCs w:val="21"/>
          <w:highlight w:val="none"/>
        </w:rPr>
        <w:t>元柒角</w:t>
      </w:r>
      <w:r>
        <w:rPr>
          <w:rFonts w:hint="eastAsia" w:hAnsi="宋体"/>
          <w:color w:val="auto"/>
          <w:sz w:val="21"/>
          <w:szCs w:val="21"/>
          <w:highlight w:val="none"/>
          <w:lang w:val="en-US" w:eastAsia="zh-CN"/>
        </w:rPr>
        <w:t>壹分</w:t>
      </w:r>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outlineLvl w:val="0"/>
        <w:rPr>
          <w:rFonts w:hAnsi="宋体"/>
          <w:b/>
          <w:bCs/>
          <w:color w:val="auto"/>
          <w:kern w:val="28"/>
          <w:sz w:val="21"/>
          <w:szCs w:val="21"/>
          <w:highlight w:val="none"/>
        </w:rPr>
      </w:pPr>
      <w:bookmarkStart w:id="8" w:name="_Toc4600"/>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8"/>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9"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（五）本项目不接受联合体投标。</w:t>
      </w:r>
    </w:p>
    <w:p>
      <w:pPr>
        <w:spacing w:line="360" w:lineRule="auto"/>
        <w:outlineLvl w:val="0"/>
        <w:rPr>
          <w:rFonts w:hAnsi="宋体"/>
          <w:b/>
          <w:bCs/>
          <w:color w:val="auto"/>
          <w:sz w:val="21"/>
          <w:szCs w:val="21"/>
          <w:highlight w:val="none"/>
        </w:rPr>
      </w:pPr>
      <w:bookmarkStart w:id="10" w:name="_Toc8581"/>
      <w:r>
        <w:rPr>
          <w:rFonts w:hint="eastAsia" w:hAnsi="宋体"/>
          <w:b/>
          <w:bCs/>
          <w:color w:val="auto"/>
          <w:sz w:val="21"/>
          <w:szCs w:val="21"/>
          <w:highlight w:val="none"/>
        </w:rPr>
        <w:t>三、获取磋商文件：</w:t>
      </w:r>
      <w:bookmarkEnd w:id="10"/>
    </w:p>
    <w:p>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本项目无须报名，磋商文件下载地址：</w:t>
      </w:r>
      <w:r>
        <w:rPr>
          <w:rFonts w:hint="eastAsia" w:hAnsi="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采购结果公告发布媒介：东莞实业投资控股集团有限公司-招标采购栏目（http://www.dgsy.com.cn/）</w:t>
      </w:r>
    </w:p>
    <w:p>
      <w:pPr>
        <w:pStyle w:val="20"/>
        <w:rPr>
          <w:color w:val="auto"/>
          <w:highlight w:val="none"/>
        </w:rPr>
      </w:pPr>
      <w:r>
        <w:rPr>
          <w:rFonts w:hint="eastAsia" w:hAnsi="宋体"/>
          <w:color w:val="auto"/>
          <w:kern w:val="28"/>
          <w:szCs w:val="21"/>
          <w:highlight w:val="none"/>
        </w:rPr>
        <w:t xml:space="preserve">    磋商文件公告期限：自公告之日起三个工作日。</w:t>
      </w:r>
    </w:p>
    <w:p>
      <w:pPr>
        <w:pStyle w:val="29"/>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1、接收响应文件的时间：2023年</w:t>
      </w:r>
      <w:r>
        <w:rPr>
          <w:rFonts w:hint="eastAsia" w:hAnsi="宋体"/>
          <w:color w:val="auto"/>
          <w:sz w:val="21"/>
          <w:szCs w:val="21"/>
          <w:highlight w:val="none"/>
          <w:lang w:val="en-US" w:eastAsia="zh-CN"/>
        </w:rPr>
        <w:t>5</w:t>
      </w:r>
      <w:r>
        <w:rPr>
          <w:rFonts w:hint="eastAsia" w:hAnsi="宋体"/>
          <w:color w:val="auto"/>
          <w:sz w:val="21"/>
          <w:szCs w:val="21"/>
          <w:highlight w:val="none"/>
        </w:rPr>
        <w:t>月</w:t>
      </w:r>
      <w:r>
        <w:rPr>
          <w:rFonts w:hint="eastAsia" w:hAnsi="宋体"/>
          <w:color w:val="auto"/>
          <w:sz w:val="21"/>
          <w:szCs w:val="21"/>
          <w:highlight w:val="none"/>
          <w:lang w:val="en-US" w:eastAsia="zh-CN"/>
        </w:rPr>
        <w:t>11</w:t>
      </w:r>
      <w:r>
        <w:rPr>
          <w:rFonts w:hint="eastAsia" w:hAnsi="宋体"/>
          <w:color w:val="auto"/>
          <w:sz w:val="21"/>
          <w:szCs w:val="21"/>
          <w:highlight w:val="none"/>
        </w:rPr>
        <w:t>日上午9:00～9:30。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2、接收响应文件截止时间及开启响应文件时间：2023年</w:t>
      </w:r>
      <w:r>
        <w:rPr>
          <w:rFonts w:hint="eastAsia" w:hAnsi="宋体"/>
          <w:color w:val="auto"/>
          <w:sz w:val="21"/>
          <w:szCs w:val="21"/>
          <w:highlight w:val="none"/>
          <w:lang w:val="en-US" w:eastAsia="zh-CN"/>
        </w:rPr>
        <w:t>5</w:t>
      </w:r>
      <w:r>
        <w:rPr>
          <w:rFonts w:hint="eastAsia" w:hAnsi="宋体"/>
          <w:color w:val="auto"/>
          <w:sz w:val="21"/>
          <w:szCs w:val="21"/>
          <w:highlight w:val="none"/>
        </w:rPr>
        <w:t>月</w:t>
      </w:r>
      <w:r>
        <w:rPr>
          <w:rFonts w:hint="eastAsia" w:hAnsi="宋体"/>
          <w:color w:val="auto"/>
          <w:sz w:val="21"/>
          <w:szCs w:val="21"/>
          <w:highlight w:val="none"/>
          <w:lang w:val="en-US" w:eastAsia="zh-CN"/>
        </w:rPr>
        <w:t>11</w:t>
      </w:r>
      <w:r>
        <w:rPr>
          <w:rFonts w:hint="eastAsia" w:hAnsi="宋体"/>
          <w:color w:val="auto"/>
          <w:sz w:val="21"/>
          <w:szCs w:val="21"/>
          <w:highlight w:val="none"/>
        </w:rPr>
        <w:t>日上午9:30。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3、接收响应文件地点：广东省东莞市南城街道科创路100号2栋1302室。</w:t>
      </w:r>
    </w:p>
    <w:p>
      <w:pPr>
        <w:spacing w:line="360" w:lineRule="auto"/>
        <w:outlineLvl w:val="0"/>
        <w:rPr>
          <w:rFonts w:hAnsi="宋体"/>
          <w:b/>
          <w:bCs/>
          <w:color w:val="auto"/>
          <w:sz w:val="21"/>
          <w:szCs w:val="21"/>
          <w:highlight w:val="none"/>
        </w:rPr>
      </w:pPr>
      <w:bookmarkStart w:id="11" w:name="_Toc26926"/>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11"/>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广东省东莞市南城街道科创路100号2栋1302室</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话：0769</w:t>
      </w:r>
      <w:r>
        <w:rPr>
          <w:rFonts w:hint="eastAsia" w:hAnsi="宋体"/>
          <w:color w:val="auto"/>
          <w:sz w:val="21"/>
          <w:szCs w:val="21"/>
          <w:highlight w:val="none"/>
        </w:rPr>
        <w:t>-22652033</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谢工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2023年</w:t>
      </w:r>
      <w:r>
        <w:rPr>
          <w:rFonts w:hint="eastAsia" w:hAnsi="宋体"/>
          <w:b/>
          <w:color w:val="auto"/>
          <w:sz w:val="21"/>
          <w:szCs w:val="21"/>
          <w:highlight w:val="none"/>
          <w:lang w:val="en-US" w:eastAsia="zh-CN"/>
        </w:rPr>
        <w:t>4</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28</w:t>
      </w:r>
      <w:r>
        <w:rPr>
          <w:rFonts w:hint="eastAsia" w:hAnsi="宋体"/>
          <w:b/>
          <w:bCs/>
          <w:color w:val="auto"/>
          <w:sz w:val="21"/>
          <w:szCs w:val="21"/>
          <w:highlight w:val="none"/>
        </w:rPr>
        <w:t>日</w:t>
      </w:r>
    </w:p>
    <w:p>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2" w:name="_Toc16634"/>
      <w:bookmarkStart w:id="13" w:name="_Toc17779"/>
      <w:r>
        <w:rPr>
          <w:rFonts w:hint="eastAsia" w:hAnsi="宋体"/>
          <w:b/>
          <w:bCs/>
          <w:color w:val="auto"/>
          <w:kern w:val="44"/>
          <w:sz w:val="28"/>
          <w:szCs w:val="28"/>
          <w:highlight w:val="none"/>
          <w:lang w:val="zh-CN"/>
        </w:rPr>
        <w:t>供应商须知</w:t>
      </w:r>
      <w:bookmarkEnd w:id="9"/>
      <w:bookmarkEnd w:id="12"/>
      <w:bookmarkEnd w:id="13"/>
    </w:p>
    <w:p>
      <w:pPr>
        <w:pStyle w:val="6"/>
        <w:adjustRightInd/>
        <w:spacing w:line="360" w:lineRule="auto"/>
        <w:ind w:firstLine="562" w:firstLineChars="200"/>
        <w:jc w:val="center"/>
        <w:rPr>
          <w:color w:val="auto"/>
          <w:sz w:val="28"/>
          <w:szCs w:val="28"/>
          <w:highlight w:val="none"/>
        </w:rPr>
      </w:pPr>
      <w:bookmarkStart w:id="14" w:name="_Toc6968687"/>
      <w:bookmarkStart w:id="15" w:name="_Toc7897861"/>
      <w:bookmarkStart w:id="16" w:name="_Toc466786434"/>
      <w:bookmarkStart w:id="17" w:name="_Toc102277756"/>
      <w:bookmarkStart w:id="18" w:name="_Toc6882675"/>
      <w:bookmarkStart w:id="19" w:name="_Toc12804"/>
      <w:bookmarkStart w:id="20" w:name="_Toc5203"/>
      <w:bookmarkStart w:id="21" w:name="_Toc507407359"/>
      <w:r>
        <w:rPr>
          <w:rFonts w:hint="eastAsia"/>
          <w:color w:val="auto"/>
          <w:sz w:val="28"/>
          <w:szCs w:val="28"/>
          <w:highlight w:val="none"/>
        </w:rPr>
        <w:t>一、说  明</w:t>
      </w:r>
      <w:bookmarkEnd w:id="14"/>
      <w:bookmarkEnd w:id="15"/>
      <w:bookmarkEnd w:id="16"/>
      <w:bookmarkEnd w:id="17"/>
      <w:bookmarkEnd w:id="18"/>
      <w:bookmarkEnd w:id="19"/>
      <w:bookmarkEnd w:id="20"/>
      <w:bookmarkEnd w:id="21"/>
    </w:p>
    <w:p>
      <w:pPr>
        <w:pStyle w:val="7"/>
        <w:adjustRightInd/>
        <w:spacing w:line="360" w:lineRule="auto"/>
        <w:ind w:firstLine="420" w:firstLineChars="200"/>
        <w:rPr>
          <w:rFonts w:hAnsi="宋体"/>
          <w:color w:val="auto"/>
          <w:sz w:val="21"/>
          <w:szCs w:val="21"/>
          <w:highlight w:val="none"/>
        </w:rPr>
      </w:pPr>
      <w:bookmarkStart w:id="22" w:name="_Toc475249114"/>
      <w:bookmarkStart w:id="23" w:name="_Toc24987"/>
      <w:bookmarkStart w:id="24" w:name="_Toc3730"/>
      <w:bookmarkStart w:id="25" w:name="_Toc7897862"/>
      <w:r>
        <w:rPr>
          <w:rFonts w:hint="eastAsia" w:hAnsi="宋体"/>
          <w:color w:val="auto"/>
          <w:sz w:val="21"/>
          <w:szCs w:val="21"/>
          <w:highlight w:val="none"/>
        </w:rPr>
        <w:t>1.适用范围</w:t>
      </w:r>
      <w:bookmarkEnd w:id="22"/>
      <w:bookmarkEnd w:id="23"/>
      <w:bookmarkEnd w:id="24"/>
      <w:bookmarkEnd w:id="2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7"/>
        <w:adjustRightInd/>
        <w:spacing w:line="360" w:lineRule="auto"/>
        <w:ind w:firstLine="420" w:firstLineChars="200"/>
        <w:rPr>
          <w:rFonts w:hAnsi="宋体"/>
          <w:color w:val="auto"/>
          <w:sz w:val="21"/>
          <w:szCs w:val="21"/>
          <w:highlight w:val="none"/>
        </w:rPr>
      </w:pPr>
      <w:bookmarkStart w:id="26" w:name="_Toc475249115"/>
      <w:bookmarkStart w:id="27" w:name="_Toc9738"/>
      <w:bookmarkStart w:id="28" w:name="_Toc598"/>
      <w:bookmarkStart w:id="29" w:name="_Toc7897863"/>
      <w:r>
        <w:rPr>
          <w:rFonts w:hint="eastAsia" w:hAnsi="宋体"/>
          <w:color w:val="auto"/>
          <w:sz w:val="21"/>
          <w:szCs w:val="21"/>
          <w:highlight w:val="none"/>
        </w:rPr>
        <w:t>2.定义</w:t>
      </w:r>
      <w:bookmarkEnd w:id="26"/>
      <w:bookmarkEnd w:id="27"/>
      <w:bookmarkEnd w:id="28"/>
      <w:bookmarkEnd w:id="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7"/>
        <w:adjustRightInd/>
        <w:spacing w:line="360" w:lineRule="auto"/>
        <w:ind w:firstLine="420" w:firstLineChars="200"/>
        <w:rPr>
          <w:rFonts w:hAnsi="宋体"/>
          <w:color w:val="auto"/>
          <w:sz w:val="21"/>
          <w:szCs w:val="21"/>
          <w:highlight w:val="none"/>
        </w:rPr>
      </w:pPr>
      <w:bookmarkStart w:id="30" w:name="_Toc110953831"/>
      <w:bookmarkStart w:id="31" w:name="_Toc367"/>
      <w:bookmarkStart w:id="32" w:name="_Toc7897864"/>
      <w:bookmarkStart w:id="33" w:name="_Toc24709"/>
      <w:bookmarkStart w:id="34" w:name="_Toc6968688"/>
      <w:bookmarkStart w:id="35" w:name="_Toc466786435"/>
      <w:bookmarkStart w:id="36" w:name="_Toc6882676"/>
      <w:bookmarkStart w:id="37" w:name="_Toc102277757"/>
      <w:bookmarkStart w:id="38" w:name="_Toc507407360"/>
      <w:r>
        <w:rPr>
          <w:rFonts w:hint="eastAsia" w:hAnsi="宋体"/>
          <w:color w:val="auto"/>
          <w:sz w:val="21"/>
          <w:szCs w:val="21"/>
          <w:highlight w:val="none"/>
        </w:rPr>
        <w:t>3.适用法律</w:t>
      </w:r>
      <w:bookmarkEnd w:id="30"/>
      <w:bookmarkEnd w:id="31"/>
      <w:bookmarkEnd w:id="32"/>
      <w:bookmarkEnd w:id="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7"/>
        <w:adjustRightInd/>
        <w:spacing w:line="360" w:lineRule="auto"/>
        <w:ind w:firstLine="420" w:firstLineChars="200"/>
        <w:rPr>
          <w:rFonts w:hAnsi="宋体"/>
          <w:color w:val="auto"/>
          <w:sz w:val="21"/>
          <w:szCs w:val="21"/>
          <w:highlight w:val="none"/>
          <w:lang w:val="zh-CN"/>
        </w:rPr>
      </w:pPr>
      <w:bookmarkStart w:id="39" w:name="_Toc20707"/>
      <w:bookmarkStart w:id="40" w:name="_Toc110953833"/>
      <w:bookmarkStart w:id="41" w:name="_Toc10397"/>
      <w:bookmarkStart w:id="42" w:name="_Toc7897866"/>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9"/>
    </w:p>
    <w:p>
      <w:pPr>
        <w:pStyle w:val="7"/>
        <w:adjustRightInd/>
        <w:spacing w:line="360" w:lineRule="auto"/>
        <w:ind w:firstLine="420" w:firstLineChars="200"/>
        <w:rPr>
          <w:rFonts w:hAnsi="宋体"/>
          <w:bCs/>
          <w:color w:val="auto"/>
          <w:sz w:val="21"/>
          <w:szCs w:val="21"/>
          <w:highlight w:val="none"/>
        </w:rPr>
      </w:pPr>
      <w:bookmarkStart w:id="43" w:name="_Toc10368"/>
      <w:r>
        <w:rPr>
          <w:rFonts w:hint="eastAsia" w:hAnsi="宋体"/>
          <w:color w:val="auto"/>
          <w:sz w:val="21"/>
          <w:szCs w:val="21"/>
          <w:highlight w:val="none"/>
        </w:rPr>
        <w:t>5.禁止事项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18"/>
      <w:bookmarkStart w:id="45" w:name="_Toc98126293"/>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4"/>
      <w:bookmarkEnd w:id="45"/>
    </w:p>
    <w:p>
      <w:pPr>
        <w:spacing w:line="360" w:lineRule="auto"/>
        <w:ind w:firstLine="420" w:firstLineChars="200"/>
        <w:rPr>
          <w:rFonts w:hAnsi="宋体"/>
          <w:color w:val="auto"/>
          <w:sz w:val="21"/>
          <w:szCs w:val="21"/>
          <w:highlight w:val="none"/>
        </w:rPr>
      </w:pPr>
      <w:bookmarkStart w:id="46" w:name="_Toc98126219"/>
      <w:bookmarkStart w:id="47" w:name="_Toc98126294"/>
      <w:r>
        <w:rPr>
          <w:rFonts w:hint="eastAsia" w:hAnsi="宋体"/>
          <w:color w:val="auto"/>
          <w:sz w:val="21"/>
          <w:szCs w:val="21"/>
          <w:highlight w:val="none"/>
        </w:rPr>
        <w:t>5.3采购代理机构不得向采购人行贿或者采取其他不正当手段谋取非法利益。</w:t>
      </w:r>
      <w:bookmarkEnd w:id="46"/>
      <w:bookmarkEnd w:id="47"/>
    </w:p>
    <w:p>
      <w:pPr>
        <w:spacing w:line="360" w:lineRule="auto"/>
        <w:ind w:firstLine="420" w:firstLineChars="200"/>
        <w:rPr>
          <w:rFonts w:hAnsi="宋体"/>
          <w:color w:val="auto"/>
          <w:sz w:val="21"/>
          <w:szCs w:val="21"/>
          <w:highlight w:val="none"/>
        </w:rPr>
      </w:pPr>
      <w:bookmarkStart w:id="48" w:name="_Toc98126220"/>
      <w:bookmarkStart w:id="49"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8"/>
      <w:bookmarkEnd w:id="49"/>
    </w:p>
    <w:p>
      <w:pPr>
        <w:pStyle w:val="7"/>
        <w:adjustRightInd/>
        <w:spacing w:line="360" w:lineRule="auto"/>
        <w:ind w:firstLine="420" w:firstLineChars="200"/>
        <w:rPr>
          <w:rFonts w:hAnsi="宋体"/>
          <w:bCs/>
          <w:color w:val="auto"/>
          <w:sz w:val="21"/>
          <w:szCs w:val="21"/>
          <w:highlight w:val="none"/>
        </w:rPr>
      </w:pPr>
      <w:bookmarkStart w:id="50" w:name="_Toc110953834"/>
      <w:bookmarkStart w:id="51" w:name="_Toc2863"/>
      <w:bookmarkStart w:id="52" w:name="_Toc25870"/>
      <w:bookmarkStart w:id="53" w:name="_Toc7897867"/>
      <w:r>
        <w:rPr>
          <w:rFonts w:hint="eastAsia" w:hAnsi="宋体"/>
          <w:color w:val="auto"/>
          <w:sz w:val="21"/>
          <w:szCs w:val="21"/>
          <w:highlight w:val="none"/>
        </w:rPr>
        <w:t>6.保密及其它注意事项</w:t>
      </w:r>
      <w:bookmarkEnd w:id="50"/>
      <w:bookmarkEnd w:id="51"/>
      <w:bookmarkEnd w:id="52"/>
      <w:bookmarkEnd w:id="53"/>
    </w:p>
    <w:p>
      <w:pPr>
        <w:spacing w:line="360" w:lineRule="auto"/>
        <w:ind w:firstLine="420" w:firstLineChars="200"/>
        <w:rPr>
          <w:rFonts w:hAnsi="宋体"/>
          <w:color w:val="auto"/>
          <w:sz w:val="21"/>
          <w:szCs w:val="21"/>
          <w:highlight w:val="none"/>
        </w:rPr>
      </w:pPr>
      <w:bookmarkStart w:id="54" w:name="_Toc98126297"/>
      <w:bookmarkStart w:id="5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7"/>
        <w:adjustRightInd/>
        <w:spacing w:line="360" w:lineRule="auto"/>
        <w:ind w:firstLine="420" w:firstLineChars="200"/>
        <w:rPr>
          <w:rFonts w:hAnsi="宋体"/>
          <w:color w:val="auto"/>
          <w:sz w:val="21"/>
          <w:szCs w:val="21"/>
          <w:highlight w:val="none"/>
        </w:rPr>
      </w:pPr>
      <w:bookmarkStart w:id="56" w:name="_Toc13371"/>
      <w:bookmarkStart w:id="57" w:name="_Toc7897868"/>
      <w:bookmarkStart w:id="58" w:name="_Toc27298"/>
      <w:bookmarkStart w:id="59" w:name="_Toc497016085"/>
      <w:r>
        <w:rPr>
          <w:rFonts w:hint="eastAsia" w:hAnsi="宋体"/>
          <w:color w:val="auto"/>
          <w:sz w:val="21"/>
          <w:szCs w:val="21"/>
          <w:highlight w:val="none"/>
        </w:rPr>
        <w:t>7.供应商诚信管理</w:t>
      </w:r>
      <w:bookmarkEnd w:id="56"/>
      <w:bookmarkEnd w:id="57"/>
      <w:bookmarkEnd w:id="58"/>
      <w:bookmarkEnd w:id="5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6"/>
        <w:adjustRightInd/>
        <w:spacing w:line="360" w:lineRule="auto"/>
        <w:ind w:firstLine="562" w:firstLineChars="200"/>
        <w:jc w:val="center"/>
        <w:rPr>
          <w:color w:val="auto"/>
          <w:sz w:val="28"/>
          <w:szCs w:val="28"/>
          <w:highlight w:val="none"/>
        </w:rPr>
      </w:pPr>
      <w:bookmarkStart w:id="60" w:name="_Toc7897869"/>
      <w:bookmarkStart w:id="61" w:name="_Toc17498"/>
      <w:bookmarkStart w:id="62" w:name="_Toc23741"/>
      <w:r>
        <w:rPr>
          <w:rFonts w:hint="eastAsia"/>
          <w:color w:val="auto"/>
          <w:sz w:val="28"/>
          <w:szCs w:val="28"/>
          <w:highlight w:val="none"/>
        </w:rPr>
        <w:t>二、磋商文件说明</w:t>
      </w:r>
      <w:bookmarkEnd w:id="34"/>
      <w:bookmarkEnd w:id="35"/>
      <w:bookmarkEnd w:id="36"/>
      <w:bookmarkEnd w:id="37"/>
      <w:bookmarkEnd w:id="38"/>
      <w:bookmarkEnd w:id="60"/>
      <w:bookmarkEnd w:id="61"/>
      <w:bookmarkEnd w:id="62"/>
    </w:p>
    <w:p>
      <w:pPr>
        <w:pStyle w:val="7"/>
        <w:adjustRightInd/>
        <w:spacing w:line="360" w:lineRule="auto"/>
        <w:ind w:firstLine="420" w:firstLineChars="200"/>
        <w:rPr>
          <w:rFonts w:hAnsi="宋体"/>
          <w:color w:val="auto"/>
          <w:sz w:val="21"/>
          <w:szCs w:val="21"/>
          <w:highlight w:val="none"/>
        </w:rPr>
      </w:pPr>
      <w:bookmarkStart w:id="63" w:name="_Toc7897870"/>
      <w:bookmarkStart w:id="64" w:name="_Toc23606"/>
      <w:bookmarkStart w:id="65" w:name="_Toc29560"/>
      <w:bookmarkStart w:id="66" w:name="_Toc110953836"/>
      <w:bookmarkStart w:id="67" w:name="_Toc507407361"/>
      <w:bookmarkStart w:id="68" w:name="_Toc6882677"/>
      <w:bookmarkStart w:id="69" w:name="_Toc6968689"/>
      <w:bookmarkStart w:id="70" w:name="_Toc466786436"/>
      <w:bookmarkStart w:id="71" w:name="_Toc102277758"/>
      <w:r>
        <w:rPr>
          <w:rFonts w:hint="eastAsia" w:hAnsi="宋体"/>
          <w:color w:val="auto"/>
          <w:sz w:val="21"/>
          <w:szCs w:val="21"/>
          <w:highlight w:val="none"/>
        </w:rPr>
        <w:t>8.磋商文件构成</w:t>
      </w:r>
      <w:bookmarkEnd w:id="63"/>
      <w:bookmarkEnd w:id="64"/>
      <w:bookmarkEnd w:id="65"/>
      <w:bookmarkEnd w:id="6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7"/>
        <w:adjustRightInd/>
        <w:spacing w:line="360" w:lineRule="auto"/>
        <w:ind w:firstLine="420" w:firstLineChars="200"/>
        <w:rPr>
          <w:rFonts w:hAnsi="宋体"/>
          <w:color w:val="auto"/>
          <w:sz w:val="21"/>
          <w:szCs w:val="21"/>
          <w:highlight w:val="none"/>
        </w:rPr>
      </w:pPr>
      <w:bookmarkStart w:id="72" w:name="_Toc19701"/>
      <w:bookmarkStart w:id="73" w:name="_Toc110953837"/>
      <w:bookmarkStart w:id="74" w:name="_Toc7897871"/>
      <w:bookmarkStart w:id="75" w:name="_Toc16827"/>
      <w:r>
        <w:rPr>
          <w:rFonts w:hint="eastAsia" w:hAnsi="宋体"/>
          <w:color w:val="auto"/>
          <w:sz w:val="21"/>
          <w:szCs w:val="21"/>
          <w:highlight w:val="none"/>
        </w:rPr>
        <w:t>9.磋商文件的修改</w:t>
      </w:r>
      <w:bookmarkEnd w:id="72"/>
      <w:bookmarkEnd w:id="73"/>
      <w:bookmarkEnd w:id="74"/>
      <w:bookmarkEnd w:id="7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8"/>
        <w:ind w:firstLine="400"/>
        <w:rPr>
          <w:color w:val="auto"/>
          <w:highlight w:val="none"/>
        </w:rPr>
      </w:pPr>
    </w:p>
    <w:bookmarkEnd w:id="67"/>
    <w:bookmarkEnd w:id="68"/>
    <w:bookmarkEnd w:id="69"/>
    <w:bookmarkEnd w:id="70"/>
    <w:bookmarkEnd w:id="71"/>
    <w:p>
      <w:pPr>
        <w:pStyle w:val="6"/>
        <w:adjustRightInd/>
        <w:spacing w:line="360" w:lineRule="auto"/>
        <w:ind w:firstLine="562" w:firstLineChars="200"/>
        <w:jc w:val="center"/>
        <w:rPr>
          <w:color w:val="auto"/>
          <w:sz w:val="28"/>
          <w:szCs w:val="28"/>
          <w:highlight w:val="none"/>
        </w:rPr>
      </w:pPr>
      <w:bookmarkStart w:id="76" w:name="_Toc18245"/>
      <w:bookmarkStart w:id="77" w:name="_Toc15398"/>
      <w:bookmarkStart w:id="78" w:name="_Toc110953838"/>
      <w:bookmarkStart w:id="79" w:name="_Toc7897872"/>
      <w:bookmarkStart w:id="80" w:name="_Toc466786437"/>
      <w:bookmarkStart w:id="81" w:name="_Toc507407362"/>
      <w:bookmarkStart w:id="82" w:name="_Toc6968690"/>
      <w:bookmarkStart w:id="83" w:name="_Toc6882678"/>
      <w:bookmarkStart w:id="84" w:name="_Toc102277759"/>
      <w:r>
        <w:rPr>
          <w:rFonts w:hint="eastAsia"/>
          <w:color w:val="auto"/>
          <w:sz w:val="28"/>
          <w:szCs w:val="28"/>
          <w:highlight w:val="none"/>
        </w:rPr>
        <w:t>三、响应文件的制作</w:t>
      </w:r>
      <w:bookmarkEnd w:id="76"/>
      <w:bookmarkEnd w:id="77"/>
      <w:bookmarkEnd w:id="78"/>
      <w:bookmarkEnd w:id="79"/>
    </w:p>
    <w:p>
      <w:pPr>
        <w:pStyle w:val="7"/>
        <w:adjustRightInd/>
        <w:spacing w:line="360" w:lineRule="auto"/>
        <w:ind w:firstLine="420" w:firstLineChars="200"/>
        <w:rPr>
          <w:rFonts w:hAnsi="宋体"/>
          <w:color w:val="auto"/>
          <w:sz w:val="21"/>
          <w:szCs w:val="21"/>
          <w:highlight w:val="none"/>
        </w:rPr>
      </w:pPr>
      <w:bookmarkStart w:id="85" w:name="_Toc110953839"/>
      <w:bookmarkStart w:id="86" w:name="_Toc23789"/>
      <w:bookmarkStart w:id="87" w:name="_Toc15756"/>
      <w:bookmarkStart w:id="88" w:name="_Toc7897873"/>
      <w:r>
        <w:rPr>
          <w:rFonts w:hint="eastAsia" w:hAnsi="宋体"/>
          <w:color w:val="auto"/>
          <w:sz w:val="21"/>
          <w:szCs w:val="21"/>
          <w:highlight w:val="none"/>
        </w:rPr>
        <w:t>10.制作要求</w:t>
      </w:r>
      <w:bookmarkEnd w:id="85"/>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7"/>
        <w:adjustRightInd/>
        <w:spacing w:line="360" w:lineRule="auto"/>
        <w:ind w:firstLine="420" w:firstLineChars="200"/>
        <w:rPr>
          <w:rFonts w:hAnsi="宋体"/>
          <w:color w:val="auto"/>
          <w:sz w:val="21"/>
          <w:szCs w:val="21"/>
          <w:highlight w:val="none"/>
        </w:rPr>
      </w:pPr>
      <w:bookmarkStart w:id="89" w:name="_Toc110953840"/>
      <w:bookmarkStart w:id="90" w:name="_Toc18079"/>
      <w:bookmarkStart w:id="91" w:name="_Toc7897874"/>
      <w:bookmarkStart w:id="92" w:name="_Toc20552"/>
      <w:r>
        <w:rPr>
          <w:rFonts w:hint="eastAsia" w:hAnsi="宋体"/>
          <w:color w:val="auto"/>
          <w:sz w:val="21"/>
          <w:szCs w:val="21"/>
          <w:highlight w:val="none"/>
        </w:rPr>
        <w:t>11.响应文件的内容</w:t>
      </w:r>
      <w:bookmarkEnd w:id="89"/>
      <w:bookmarkEnd w:id="90"/>
      <w:bookmarkEnd w:id="91"/>
      <w:bookmarkEnd w:id="9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7"/>
        <w:adjustRightInd/>
        <w:spacing w:line="360" w:lineRule="auto"/>
        <w:ind w:firstLine="420" w:firstLineChars="200"/>
        <w:rPr>
          <w:rFonts w:hAnsi="宋体"/>
          <w:color w:val="auto"/>
          <w:sz w:val="21"/>
          <w:szCs w:val="21"/>
          <w:highlight w:val="none"/>
        </w:rPr>
      </w:pPr>
      <w:bookmarkStart w:id="93" w:name="_Toc110953841"/>
      <w:bookmarkStart w:id="94" w:name="_Toc7897875"/>
      <w:bookmarkStart w:id="95" w:name="_Toc9150"/>
      <w:bookmarkStart w:id="96" w:name="_Toc21763"/>
      <w:r>
        <w:rPr>
          <w:rFonts w:hint="eastAsia" w:hAnsi="宋体"/>
          <w:color w:val="auto"/>
          <w:sz w:val="21"/>
          <w:szCs w:val="21"/>
          <w:highlight w:val="none"/>
        </w:rPr>
        <w:t>12.响应文件格式</w:t>
      </w:r>
      <w:bookmarkEnd w:id="93"/>
      <w:bookmarkEnd w:id="94"/>
      <w:bookmarkEnd w:id="95"/>
      <w:bookmarkEnd w:id="9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7"/>
        <w:adjustRightInd/>
        <w:spacing w:line="360" w:lineRule="auto"/>
        <w:ind w:firstLine="420" w:firstLineChars="200"/>
        <w:rPr>
          <w:rFonts w:hAnsi="宋体"/>
          <w:color w:val="auto"/>
          <w:sz w:val="21"/>
          <w:szCs w:val="21"/>
          <w:highlight w:val="none"/>
        </w:rPr>
      </w:pPr>
      <w:bookmarkStart w:id="97" w:name="_Toc185150707"/>
      <w:bookmarkStart w:id="98" w:name="_Toc7897876"/>
      <w:bookmarkStart w:id="99" w:name="_Toc24570"/>
      <w:bookmarkStart w:id="100" w:name="_Toc30889"/>
      <w:r>
        <w:rPr>
          <w:rFonts w:hint="eastAsia" w:hAnsi="宋体"/>
          <w:color w:val="auto"/>
          <w:sz w:val="21"/>
          <w:szCs w:val="21"/>
          <w:highlight w:val="none"/>
        </w:rPr>
        <w:t>13.</w:t>
      </w:r>
      <w:bookmarkEnd w:id="97"/>
      <w:r>
        <w:rPr>
          <w:rFonts w:hint="eastAsia" w:hAnsi="宋体"/>
          <w:color w:val="auto"/>
          <w:sz w:val="21"/>
          <w:szCs w:val="21"/>
          <w:highlight w:val="none"/>
        </w:rPr>
        <w:t>磋商保证金</w:t>
      </w:r>
      <w:bookmarkEnd w:id="98"/>
      <w:bookmarkEnd w:id="99"/>
      <w:bookmarkEnd w:id="10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Ansi="宋体"/>
                <w:color w:val="auto"/>
                <w:sz w:val="21"/>
                <w:szCs w:val="21"/>
                <w:highlight w:val="none"/>
              </w:rPr>
            </w:pPr>
            <w:r>
              <w:rPr>
                <w:rFonts w:hint="eastAsia" w:hAnsi="宋体"/>
                <w:color w:val="auto"/>
                <w:sz w:val="21"/>
                <w:szCs w:val="21"/>
                <w:highlight w:val="none"/>
              </w:rPr>
              <w:t>松山湖国际创新创业社区H1-H3栋智能</w:t>
            </w:r>
            <w:r>
              <w:rPr>
                <w:rFonts w:hint="eastAsia" w:hAnsi="宋体"/>
                <w:color w:val="auto"/>
                <w:sz w:val="21"/>
                <w:szCs w:val="21"/>
                <w:highlight w:val="none"/>
                <w:lang w:eastAsia="zh-CN"/>
              </w:rPr>
              <w:t>门锁采购</w:t>
            </w:r>
            <w:r>
              <w:rPr>
                <w:rFonts w:hint="eastAsia" w:hAnsi="宋体"/>
                <w:color w:val="auto"/>
                <w:sz w:val="21"/>
                <w:szCs w:val="21"/>
                <w:highlight w:val="none"/>
              </w:rPr>
              <w:t>安装项目</w:t>
            </w:r>
          </w:p>
        </w:tc>
        <w:tc>
          <w:tcPr>
            <w:tcW w:w="3679" w:type="dxa"/>
            <w:vAlign w:val="center"/>
          </w:tcPr>
          <w:p>
            <w:pPr>
              <w:widowControl/>
              <w:jc w:val="center"/>
              <w:rPr>
                <w:rFonts w:hAnsi="宋体"/>
                <w:color w:val="auto"/>
                <w:sz w:val="21"/>
                <w:szCs w:val="21"/>
                <w:highlight w:val="none"/>
              </w:rPr>
            </w:pPr>
            <w:r>
              <w:rPr>
                <w:rFonts w:hint="eastAsia" w:hAnsi="宋体"/>
                <w:color w:val="auto"/>
                <w:sz w:val="21"/>
                <w:szCs w:val="21"/>
                <w:highlight w:val="none"/>
              </w:rPr>
              <w:t xml:space="preserve"> 人民币壹万</w:t>
            </w:r>
            <w:r>
              <w:rPr>
                <w:rFonts w:hint="eastAsia" w:hAnsi="宋体"/>
                <w:color w:val="auto"/>
                <w:sz w:val="21"/>
                <w:szCs w:val="21"/>
                <w:highlight w:val="none"/>
                <w:lang w:eastAsia="zh-CN"/>
              </w:rPr>
              <w:t>捌</w:t>
            </w:r>
            <w:r>
              <w:rPr>
                <w:rFonts w:hint="eastAsia" w:hAnsi="宋体"/>
                <w:color w:val="auto"/>
                <w:sz w:val="21"/>
                <w:szCs w:val="21"/>
                <w:highlight w:val="none"/>
              </w:rPr>
              <w:t>仟元</w:t>
            </w:r>
            <w:r>
              <w:rPr>
                <w:rFonts w:hAnsi="宋体"/>
                <w:color w:val="auto"/>
                <w:sz w:val="21"/>
                <w:szCs w:val="21"/>
                <w:highlight w:val="none"/>
              </w:rPr>
              <w:t>整</w:t>
            </w:r>
            <w:r>
              <w:rPr>
                <w:rFonts w:hint="eastAsia" w:hAnsi="宋体"/>
                <w:color w:val="auto"/>
                <w:sz w:val="21"/>
                <w:szCs w:val="21"/>
                <w:highlight w:val="none"/>
              </w:rPr>
              <w:t>（¥1</w:t>
            </w:r>
            <w:r>
              <w:rPr>
                <w:rFonts w:hint="eastAsia" w:hAnsi="宋体"/>
                <w:color w:val="auto"/>
                <w:sz w:val="21"/>
                <w:szCs w:val="21"/>
                <w:highlight w:val="none"/>
                <w:lang w:val="en-US" w:eastAsia="zh-CN"/>
              </w:rPr>
              <w:t>8</w:t>
            </w:r>
            <w:r>
              <w:rPr>
                <w:rFonts w:hint="eastAsia" w:hAnsi="宋体"/>
                <w:color w:val="auto"/>
                <w:sz w:val="21"/>
                <w:szCs w:val="21"/>
                <w:highlight w:val="none"/>
              </w:rPr>
              <w:t>000.00元）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pPr>
        <w:spacing w:line="360" w:lineRule="auto"/>
        <w:ind w:firstLine="422" w:firstLineChars="200"/>
        <w:rPr>
          <w:rFonts w:hAnsi="宋体"/>
          <w:b/>
          <w:bCs/>
          <w:color w:val="auto"/>
          <w:kern w:val="2"/>
          <w:sz w:val="21"/>
          <w:szCs w:val="21"/>
          <w:highlight w:val="none"/>
        </w:rPr>
      </w:pPr>
      <w:r>
        <w:rPr>
          <w:rFonts w:hint="eastAsia" w:hAnsi="宋体"/>
          <w:b/>
          <w:bCs/>
          <w:color w:val="auto"/>
          <w:kern w:val="2"/>
          <w:sz w:val="21"/>
          <w:szCs w:val="21"/>
          <w:highlight w:val="none"/>
          <w:lang w:val="zh-CN"/>
        </w:rPr>
        <w:t>账  号：6232590699050060399</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7"/>
        <w:adjustRightInd/>
        <w:spacing w:line="360" w:lineRule="auto"/>
        <w:ind w:firstLine="420" w:firstLineChars="200"/>
        <w:rPr>
          <w:rFonts w:hAnsi="宋体"/>
          <w:color w:val="auto"/>
          <w:sz w:val="21"/>
          <w:szCs w:val="21"/>
          <w:highlight w:val="none"/>
        </w:rPr>
      </w:pPr>
      <w:bookmarkStart w:id="101" w:name="_Toc468606030"/>
      <w:bookmarkStart w:id="102" w:name="_Toc503758471"/>
      <w:bookmarkStart w:id="103" w:name="_Toc467987824"/>
      <w:bookmarkStart w:id="104" w:name="_Toc480021054"/>
      <w:bookmarkStart w:id="105" w:name="_Toc7897877"/>
      <w:bookmarkStart w:id="106" w:name="_Toc2525"/>
      <w:bookmarkStart w:id="107" w:name="_Toc468157537"/>
      <w:bookmarkStart w:id="108" w:name="_Toc480171880"/>
      <w:bookmarkStart w:id="109" w:name="_Toc32304"/>
      <w:bookmarkStart w:id="110" w:name="_Toc454701382"/>
      <w:bookmarkStart w:id="111" w:name="_Toc467236741"/>
      <w:bookmarkStart w:id="112" w:name="_Toc480010709"/>
      <w:bookmarkStart w:id="113" w:name="_Toc480020258"/>
      <w:bookmarkStart w:id="114" w:name="_Toc110953842"/>
      <w:bookmarkStart w:id="115" w:name="_Toc458262615"/>
      <w:bookmarkStart w:id="116" w:name="_Toc479991583"/>
      <w:r>
        <w:rPr>
          <w:rFonts w:hint="eastAsia" w:hAnsi="宋体"/>
          <w:color w:val="auto"/>
          <w:sz w:val="21"/>
          <w:szCs w:val="21"/>
          <w:highlight w:val="none"/>
        </w:rPr>
        <w:t>14.响应有效期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8"/>
        <w:ind w:firstLine="400"/>
        <w:rPr>
          <w:color w:val="auto"/>
          <w:highlight w:val="none"/>
        </w:rPr>
      </w:pPr>
    </w:p>
    <w:bookmarkEnd w:id="80"/>
    <w:bookmarkEnd w:id="81"/>
    <w:bookmarkEnd w:id="82"/>
    <w:bookmarkEnd w:id="83"/>
    <w:bookmarkEnd w:id="84"/>
    <w:p>
      <w:pPr>
        <w:pStyle w:val="6"/>
        <w:adjustRightInd/>
        <w:spacing w:line="360" w:lineRule="auto"/>
        <w:ind w:firstLine="562" w:firstLineChars="200"/>
        <w:jc w:val="center"/>
        <w:rPr>
          <w:color w:val="auto"/>
          <w:sz w:val="28"/>
          <w:szCs w:val="28"/>
          <w:highlight w:val="none"/>
        </w:rPr>
      </w:pPr>
      <w:bookmarkStart w:id="117" w:name="_Toc7897878"/>
      <w:bookmarkStart w:id="118" w:name="_Toc17761"/>
      <w:bookmarkStart w:id="119" w:name="_Toc110953843"/>
      <w:bookmarkStart w:id="120" w:name="_Toc2740"/>
      <w:bookmarkStart w:id="121" w:name="_Toc466786438"/>
      <w:bookmarkStart w:id="122" w:name="_Toc6968691"/>
      <w:bookmarkStart w:id="123" w:name="_Toc507407363"/>
      <w:bookmarkStart w:id="124" w:name="_Toc102277760"/>
      <w:bookmarkStart w:id="125" w:name="_Toc6882679"/>
      <w:r>
        <w:rPr>
          <w:rFonts w:hint="eastAsia"/>
          <w:color w:val="auto"/>
          <w:sz w:val="28"/>
          <w:szCs w:val="28"/>
          <w:highlight w:val="none"/>
        </w:rPr>
        <w:t>四、响应文件的递交</w:t>
      </w:r>
      <w:bookmarkEnd w:id="117"/>
      <w:bookmarkEnd w:id="118"/>
      <w:bookmarkEnd w:id="119"/>
      <w:bookmarkEnd w:id="120"/>
    </w:p>
    <w:p>
      <w:pPr>
        <w:pStyle w:val="7"/>
        <w:adjustRightInd/>
        <w:spacing w:line="360" w:lineRule="auto"/>
        <w:ind w:firstLine="420" w:firstLineChars="200"/>
        <w:rPr>
          <w:rFonts w:hAnsi="宋体"/>
          <w:color w:val="auto"/>
          <w:sz w:val="21"/>
          <w:szCs w:val="21"/>
          <w:highlight w:val="none"/>
        </w:rPr>
      </w:pPr>
      <w:bookmarkStart w:id="126" w:name="_Toc2684"/>
      <w:bookmarkStart w:id="127" w:name="_Toc110953844"/>
      <w:bookmarkStart w:id="128" w:name="_Toc11500"/>
      <w:bookmarkStart w:id="129" w:name="_Toc7897879"/>
      <w:r>
        <w:rPr>
          <w:rFonts w:hint="eastAsia" w:hAnsi="宋体"/>
          <w:color w:val="auto"/>
          <w:sz w:val="21"/>
          <w:szCs w:val="21"/>
          <w:highlight w:val="none"/>
        </w:rPr>
        <w:t>15.响应文件的密封和标记</w:t>
      </w:r>
      <w:bookmarkEnd w:id="126"/>
      <w:bookmarkEnd w:id="127"/>
      <w:bookmarkEnd w:id="128"/>
      <w:bookmarkEnd w:id="1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7"/>
        <w:adjustRightInd/>
        <w:spacing w:line="360" w:lineRule="auto"/>
        <w:ind w:firstLine="420" w:firstLineChars="200"/>
        <w:rPr>
          <w:rFonts w:hAnsi="宋体"/>
          <w:color w:val="auto"/>
          <w:sz w:val="21"/>
          <w:szCs w:val="21"/>
          <w:highlight w:val="none"/>
        </w:rPr>
      </w:pPr>
      <w:bookmarkStart w:id="130" w:name="_Toc12710"/>
      <w:bookmarkStart w:id="131" w:name="_Toc7897880"/>
      <w:bookmarkStart w:id="132" w:name="_Toc110953845"/>
      <w:bookmarkStart w:id="133" w:name="_Toc10017"/>
      <w:r>
        <w:rPr>
          <w:rFonts w:hint="eastAsia" w:hAnsi="宋体"/>
          <w:color w:val="auto"/>
          <w:sz w:val="21"/>
          <w:szCs w:val="21"/>
          <w:highlight w:val="none"/>
        </w:rPr>
        <w:t>16.响应文件的递交</w:t>
      </w:r>
      <w:bookmarkEnd w:id="130"/>
      <w:bookmarkEnd w:id="131"/>
      <w:bookmarkEnd w:id="132"/>
      <w:bookmarkEnd w:id="1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6"/>
        <w:adjustRightInd/>
        <w:spacing w:line="360" w:lineRule="auto"/>
        <w:ind w:firstLine="562" w:firstLineChars="200"/>
        <w:jc w:val="center"/>
        <w:rPr>
          <w:color w:val="auto"/>
          <w:sz w:val="28"/>
          <w:szCs w:val="28"/>
          <w:highlight w:val="none"/>
        </w:rPr>
      </w:pPr>
      <w:bookmarkStart w:id="134" w:name="_Toc22874"/>
      <w:bookmarkStart w:id="135" w:name="_Toc7897881"/>
      <w:bookmarkStart w:id="136" w:name="_Toc3138"/>
      <w:r>
        <w:rPr>
          <w:rFonts w:hint="eastAsia"/>
          <w:color w:val="auto"/>
          <w:sz w:val="28"/>
          <w:szCs w:val="28"/>
          <w:highlight w:val="none"/>
        </w:rPr>
        <w:t>五、采购仪式和</w:t>
      </w:r>
      <w:bookmarkEnd w:id="121"/>
      <w:bookmarkEnd w:id="122"/>
      <w:bookmarkEnd w:id="123"/>
      <w:bookmarkEnd w:id="124"/>
      <w:bookmarkEnd w:id="125"/>
      <w:r>
        <w:rPr>
          <w:rFonts w:hint="eastAsia"/>
          <w:color w:val="auto"/>
          <w:sz w:val="28"/>
          <w:szCs w:val="28"/>
          <w:highlight w:val="none"/>
        </w:rPr>
        <w:t>评审会议</w:t>
      </w:r>
      <w:bookmarkEnd w:id="134"/>
      <w:bookmarkEnd w:id="135"/>
      <w:bookmarkEnd w:id="136"/>
    </w:p>
    <w:p>
      <w:pPr>
        <w:pStyle w:val="7"/>
        <w:adjustRightInd/>
        <w:spacing w:line="360" w:lineRule="auto"/>
        <w:ind w:firstLine="422" w:firstLineChars="200"/>
        <w:rPr>
          <w:rFonts w:hAnsi="宋体"/>
          <w:b/>
          <w:color w:val="auto"/>
          <w:sz w:val="21"/>
          <w:szCs w:val="21"/>
          <w:highlight w:val="none"/>
        </w:rPr>
      </w:pPr>
      <w:bookmarkStart w:id="137" w:name="_Toc475249134"/>
      <w:r>
        <w:rPr>
          <w:rFonts w:hint="eastAsia" w:hAnsi="宋体"/>
          <w:b/>
          <w:color w:val="auto"/>
          <w:sz w:val="21"/>
          <w:szCs w:val="21"/>
          <w:highlight w:val="none"/>
        </w:rPr>
        <w:t>17.</w:t>
      </w:r>
      <w:bookmarkEnd w:id="137"/>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38" w:name="_Toc475249135"/>
      <w:bookmarkStart w:id="139"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3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7"/>
        <w:adjustRightInd/>
        <w:spacing w:line="360" w:lineRule="auto"/>
        <w:ind w:firstLine="422" w:firstLineChars="200"/>
        <w:rPr>
          <w:rFonts w:hAnsi="宋体"/>
          <w:b/>
          <w:color w:val="auto"/>
          <w:sz w:val="21"/>
          <w:szCs w:val="21"/>
          <w:highlight w:val="none"/>
        </w:rPr>
      </w:pPr>
      <w:bookmarkStart w:id="140" w:name="_Toc37121259"/>
      <w:bookmarkStart w:id="141" w:name="_Toc535141844"/>
      <w:r>
        <w:rPr>
          <w:rFonts w:hint="eastAsia" w:hAnsi="宋体"/>
          <w:b/>
          <w:color w:val="auto"/>
          <w:sz w:val="21"/>
          <w:szCs w:val="21"/>
          <w:highlight w:val="none"/>
        </w:rPr>
        <w:t>19.对响应文件的初审</w:t>
      </w:r>
      <w:bookmarkEnd w:id="140"/>
      <w:bookmarkEnd w:id="14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9"/>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rPr>
      </w:pPr>
      <w:bookmarkStart w:id="142" w:name="_Toc7897882"/>
      <w:bookmarkStart w:id="143" w:name="_Toc18625"/>
      <w:bookmarkStart w:id="144" w:name="_Toc21174"/>
      <w:r>
        <w:rPr>
          <w:rFonts w:hint="eastAsia"/>
          <w:color w:val="auto"/>
          <w:sz w:val="28"/>
          <w:szCs w:val="28"/>
          <w:highlight w:val="none"/>
        </w:rPr>
        <w:t>六、确定成交供应商</w:t>
      </w:r>
      <w:bookmarkEnd w:id="142"/>
      <w:bookmarkEnd w:id="143"/>
      <w:bookmarkEnd w:id="144"/>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7"/>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7"/>
        <w:adjustRightInd/>
        <w:spacing w:line="360" w:lineRule="auto"/>
        <w:ind w:firstLine="422" w:firstLineChars="200"/>
        <w:rPr>
          <w:rFonts w:hAnsi="宋体"/>
          <w:b/>
          <w:color w:val="auto"/>
          <w:sz w:val="21"/>
          <w:szCs w:val="21"/>
          <w:highlight w:val="none"/>
        </w:rPr>
      </w:pPr>
      <w:bookmarkStart w:id="145" w:name="_Toc475249142"/>
      <w:r>
        <w:rPr>
          <w:rFonts w:hint="eastAsia" w:hAnsi="宋体"/>
          <w:b/>
          <w:color w:val="auto"/>
          <w:sz w:val="21"/>
          <w:szCs w:val="21"/>
          <w:highlight w:val="none"/>
        </w:rPr>
        <w:t>26.成交通知</w:t>
      </w:r>
      <w:bookmarkEnd w:id="1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rPr>
      </w:pPr>
      <w:bookmarkStart w:id="146" w:name="_Toc7897883"/>
      <w:bookmarkStart w:id="147" w:name="_Toc110953852"/>
      <w:bookmarkStart w:id="148" w:name="_Toc20980"/>
      <w:bookmarkStart w:id="149" w:name="_Toc28276"/>
      <w:bookmarkStart w:id="150" w:name="_Toc37756778"/>
      <w:bookmarkStart w:id="151" w:name="_Toc475249143"/>
      <w:r>
        <w:rPr>
          <w:rFonts w:hint="eastAsia"/>
          <w:color w:val="auto"/>
          <w:sz w:val="28"/>
          <w:szCs w:val="28"/>
          <w:highlight w:val="none"/>
        </w:rPr>
        <w:t>七、签订采购合同</w:t>
      </w:r>
      <w:bookmarkEnd w:id="146"/>
      <w:bookmarkEnd w:id="147"/>
      <w:bookmarkEnd w:id="148"/>
      <w:bookmarkEnd w:id="149"/>
      <w:bookmarkEnd w:id="15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51"/>
    <w:p>
      <w:pPr>
        <w:pStyle w:val="6"/>
        <w:adjustRightInd/>
        <w:spacing w:line="360" w:lineRule="auto"/>
        <w:ind w:firstLine="562" w:firstLineChars="200"/>
        <w:jc w:val="center"/>
        <w:rPr>
          <w:color w:val="auto"/>
          <w:sz w:val="21"/>
          <w:szCs w:val="21"/>
          <w:highlight w:val="none"/>
        </w:rPr>
      </w:pPr>
      <w:bookmarkStart w:id="152" w:name="_Toc7897884"/>
      <w:bookmarkStart w:id="153" w:name="_Toc8766"/>
      <w:bookmarkStart w:id="154" w:name="_Toc152"/>
      <w:bookmarkStart w:id="155" w:name="_Toc396137239"/>
      <w:bookmarkStart w:id="156" w:name="_Toc5141"/>
      <w:bookmarkStart w:id="157" w:name="_Toc3498"/>
      <w:r>
        <w:rPr>
          <w:rFonts w:hint="eastAsia"/>
          <w:color w:val="auto"/>
          <w:sz w:val="28"/>
          <w:szCs w:val="28"/>
          <w:highlight w:val="none"/>
        </w:rPr>
        <w:t>八、成交服务费</w:t>
      </w:r>
      <w:bookmarkEnd w:id="152"/>
      <w:bookmarkEnd w:id="153"/>
      <w:bookmarkEnd w:id="154"/>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货物类的七折收取，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lang w:val="zh-CN"/>
        </w:rPr>
      </w:pPr>
      <w:bookmarkStart w:id="158" w:name="_Toc17153"/>
      <w:r>
        <w:rPr>
          <w:rFonts w:hint="eastAsia"/>
          <w:color w:val="auto"/>
          <w:sz w:val="28"/>
          <w:szCs w:val="28"/>
          <w:highlight w:val="none"/>
          <w:lang w:val="zh-CN"/>
        </w:rPr>
        <w:t>九、质疑与回复</w:t>
      </w:r>
      <w:bookmarkEnd w:id="155"/>
      <w:bookmarkEnd w:id="156"/>
      <w:bookmarkEnd w:id="157"/>
      <w:bookmarkEnd w:id="15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冼小姐/0769-22652033；联系地址：广东省东莞市南城街道科创路100号2栋1302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59"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59"/>
    </w:p>
    <w:p>
      <w:pPr>
        <w:pStyle w:val="50"/>
        <w:ind w:left="648"/>
        <w:rPr>
          <w:color w:val="auto"/>
          <w:highlight w:val="none"/>
        </w:rPr>
      </w:pPr>
    </w:p>
    <w:p>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60" w:name="_Toc22134"/>
      <w:bookmarkStart w:id="161" w:name="_Toc22751"/>
      <w:bookmarkStart w:id="162" w:name="_Toc396137240"/>
      <w:bookmarkStart w:id="163" w:name="_Toc25267"/>
      <w:bookmarkStart w:id="164" w:name="_Toc25591"/>
      <w:bookmarkStart w:id="165" w:name="_Toc13957"/>
      <w:r>
        <w:rPr>
          <w:rFonts w:hint="eastAsia" w:hAnsi="宋体"/>
          <w:b/>
          <w:bCs/>
          <w:color w:val="auto"/>
          <w:kern w:val="44"/>
          <w:sz w:val="28"/>
          <w:szCs w:val="28"/>
          <w:highlight w:val="none"/>
          <w:lang w:val="zh-CN"/>
        </w:rPr>
        <w:t>用户需求书</w:t>
      </w:r>
      <w:bookmarkEnd w:id="160"/>
      <w:bookmarkEnd w:id="161"/>
      <w:bookmarkEnd w:id="162"/>
    </w:p>
    <w:p>
      <w:pPr>
        <w:pStyle w:val="5"/>
        <w:spacing w:line="360" w:lineRule="auto"/>
        <w:jc w:val="center"/>
        <w:rPr>
          <w:b/>
          <w:bCs/>
          <w:color w:val="auto"/>
          <w:sz w:val="28"/>
          <w:szCs w:val="28"/>
          <w:highlight w:val="none"/>
        </w:rPr>
      </w:pPr>
      <w:bookmarkStart w:id="166" w:name="_Toc31481"/>
      <w:bookmarkStart w:id="167" w:name="_Toc32290"/>
      <w:r>
        <w:rPr>
          <w:rFonts w:hint="eastAsia"/>
          <w:b/>
          <w:bCs/>
          <w:color w:val="auto"/>
          <w:sz w:val="28"/>
          <w:szCs w:val="28"/>
          <w:highlight w:val="none"/>
        </w:rPr>
        <w:t>第一部分 商务需求书</w:t>
      </w:r>
      <w:bookmarkEnd w:id="166"/>
      <w:bookmarkEnd w:id="167"/>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条款名称</w:t>
            </w:r>
          </w:p>
        </w:tc>
        <w:tc>
          <w:tcPr>
            <w:tcW w:w="6397"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1</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kern w:val="2"/>
                <w:sz w:val="21"/>
                <w:szCs w:val="21"/>
                <w:highlight w:val="none"/>
              </w:rPr>
              <w:t>完工期限</w:t>
            </w:r>
          </w:p>
        </w:tc>
        <w:tc>
          <w:tcPr>
            <w:tcW w:w="6397" w:type="dxa"/>
            <w:vAlign w:val="center"/>
          </w:tcPr>
          <w:p>
            <w:pPr>
              <w:pStyle w:val="144"/>
              <w:spacing w:line="360" w:lineRule="auto"/>
              <w:ind w:firstLine="0" w:firstLineChars="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在收到“开工令”后的</w:t>
            </w:r>
            <w:r>
              <w:rPr>
                <w:rFonts w:hint="eastAsia" w:ascii="宋体" w:hAnsi="宋体"/>
                <w:color w:val="auto"/>
                <w:szCs w:val="21"/>
                <w:highlight w:val="none"/>
                <w:lang w:val="en-US" w:eastAsia="zh-CN"/>
              </w:rPr>
              <w:t>60</w:t>
            </w:r>
            <w:r>
              <w:rPr>
                <w:rFonts w:hint="eastAsia" w:ascii="宋体" w:hAnsi="宋体"/>
                <w:color w:val="auto"/>
                <w:szCs w:val="21"/>
                <w:highlight w:val="none"/>
              </w:rPr>
              <w:t>个日历日完成安装和调试。</w:t>
            </w:r>
          </w:p>
          <w:p>
            <w:pPr>
              <w:pStyle w:val="144"/>
              <w:spacing w:line="360" w:lineRule="auto"/>
              <w:ind w:firstLine="0" w:firstLineChars="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按合同工期竣工交付使用，不得拖延，每拖延一天扣合同价款的千分之一。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质保期</w:t>
            </w:r>
          </w:p>
        </w:tc>
        <w:tc>
          <w:tcPr>
            <w:tcW w:w="6397" w:type="dxa"/>
            <w:vAlign w:val="center"/>
          </w:tcPr>
          <w:p>
            <w:pPr>
              <w:pStyle w:val="144"/>
              <w:spacing w:line="360" w:lineRule="auto"/>
              <w:ind w:firstLine="0" w:firstLineChars="0"/>
              <w:rPr>
                <w:rFonts w:ascii="宋体" w:hAnsi="宋体"/>
                <w:color w:val="auto"/>
                <w:szCs w:val="21"/>
                <w:highlight w:val="none"/>
              </w:rPr>
            </w:pPr>
            <w:r>
              <w:rPr>
                <w:rFonts w:hint="eastAsia" w:ascii="宋体" w:hAnsi="宋体"/>
                <w:color w:val="auto"/>
                <w:szCs w:val="21"/>
                <w:highlight w:val="none"/>
              </w:rPr>
              <w:t>自验收合格起不少于两年。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报价要求</w:t>
            </w:r>
          </w:p>
        </w:tc>
        <w:tc>
          <w:tcPr>
            <w:tcW w:w="6397" w:type="dxa"/>
            <w:vAlign w:val="center"/>
          </w:tcPr>
          <w:p>
            <w:pPr>
              <w:pStyle w:val="144"/>
              <w:spacing w:line="360" w:lineRule="auto"/>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　报价应包含方案图纸及系统深化设计及其所需的货物及所需附件的购置费、采保费、运输费、安装、调试费、保险费、各种税费、检测费、售后服务费及合同实施过程中的应预见和不可预见费用等完成合同规定责任和义务、达到合同目的的一切费用。</w:t>
            </w:r>
          </w:p>
          <w:p>
            <w:pPr>
              <w:pStyle w:val="144"/>
              <w:spacing w:line="360" w:lineRule="auto"/>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　投标价应包括所有应支付的对专利权和版权、设计或其他知识产权而需要向其他方支付的版税。</w:t>
            </w:r>
          </w:p>
          <w:p>
            <w:pPr>
              <w:pStyle w:val="144"/>
              <w:spacing w:line="360" w:lineRule="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合同总价为含税包干价，除约定的内容外不予调整。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4</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付款方式</w:t>
            </w:r>
          </w:p>
        </w:tc>
        <w:tc>
          <w:tcPr>
            <w:tcW w:w="6397" w:type="dxa"/>
            <w:vAlign w:val="center"/>
          </w:tcPr>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成交通知书发出后，合同签订前中标人向采购人提交为本合同总价10%的不可撤销银行保函或履约保证金；</w:t>
            </w:r>
          </w:p>
          <w:p>
            <w:pPr>
              <w:pStyle w:val="10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双方签订合同后，中标人提交符合采购人要求的请款报告及相关资料后7天内，支付至合同总额的20%；</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3、每月按实际完成内容的80%支付进度款</w:t>
            </w:r>
            <w:r>
              <w:rPr>
                <w:rFonts w:hint="eastAsia" w:ascii="宋体" w:hAnsi="宋体" w:cs="宋体"/>
                <w:color w:val="auto"/>
                <w:szCs w:val="21"/>
                <w:highlight w:val="none"/>
              </w:rPr>
              <w:t>；</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所有</w:t>
            </w:r>
            <w:r>
              <w:rPr>
                <w:rFonts w:hint="eastAsia" w:ascii="宋体" w:hAnsi="宋体" w:cs="宋体"/>
                <w:color w:val="auto"/>
                <w:szCs w:val="21"/>
                <w:highlight w:val="none"/>
                <w:lang w:val="en-US" w:eastAsia="zh-CN"/>
              </w:rPr>
              <w:t>合同内容完成后</w:t>
            </w:r>
            <w:r>
              <w:rPr>
                <w:rFonts w:hint="eastAsia" w:ascii="宋体" w:hAnsi="宋体" w:cs="宋体"/>
                <w:color w:val="auto"/>
                <w:szCs w:val="21"/>
                <w:highlight w:val="none"/>
              </w:rPr>
              <w:t>，中标人提交符合采购人要求的请款报告及相关资料后7天内，支付至合同总额的80%；</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项目竣工验收合格并结算完成后，中标人提交符合采购人要求的请款报告及相关资料后7天内，支付至结算价的97%；</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6、 </w:t>
            </w:r>
            <w:r>
              <w:rPr>
                <w:rFonts w:hint="eastAsia" w:ascii="宋体" w:hAnsi="宋体" w:cs="宋体"/>
                <w:color w:val="auto"/>
                <w:szCs w:val="21"/>
                <w:highlight w:val="none"/>
              </w:rPr>
              <w:t>剩余结算价的3%为项目质保金，</w:t>
            </w:r>
            <w:r>
              <w:rPr>
                <w:rFonts w:hint="eastAsia" w:ascii="宋体" w:hAnsi="宋体" w:cs="宋体"/>
                <w:color w:val="auto"/>
                <w:szCs w:val="21"/>
                <w:highlight w:val="none"/>
                <w:lang w:val="en-US" w:eastAsia="zh-CN"/>
              </w:rPr>
              <w:t>质保期结束后</w:t>
            </w:r>
            <w:r>
              <w:rPr>
                <w:rFonts w:hint="eastAsia" w:ascii="宋体" w:hAnsi="宋体" w:cs="宋体"/>
                <w:color w:val="auto"/>
                <w:szCs w:val="21"/>
                <w:highlight w:val="none"/>
              </w:rPr>
              <w:t>，中标人提交符合采购人要求的请款报告及相关资料后7天内采购人一次性无息付清。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5</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售后服务</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、质保期内：</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故障响应时间：质保期内，货物出现质量问题，接到质量问题通知后2个小时内到场处理，6个小时内修复，如无法修复提供相应规格的货物供采购人替代使用；其他服务承诺在磋商响应文件中说明。</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如果货物不能稳定地达到承诺的全部功能，</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应对此承担责任并承担全部相关费用以及采购人的直接损失，经采购人同意对货物采用如下一种或几种方式处理：</w:t>
            </w:r>
            <w:r>
              <w:rPr>
                <w:rFonts w:hint="eastAsia" w:ascii="宋体" w:hAnsi="宋体" w:cs="宋体"/>
                <w:color w:val="auto"/>
                <w:szCs w:val="21"/>
                <w:highlight w:val="none"/>
                <w:lang w:val="en-US" w:eastAsia="zh-CN"/>
              </w:rPr>
              <w:t>①</w:t>
            </w:r>
            <w:r>
              <w:rPr>
                <w:rFonts w:hint="eastAsia" w:ascii="宋体" w:hAnsi="宋体" w:cs="宋体"/>
                <w:color w:val="auto"/>
                <w:szCs w:val="21"/>
                <w:highlight w:val="none"/>
              </w:rPr>
              <w:t>免费维修和更换损坏零部件；</w:t>
            </w:r>
            <w:r>
              <w:rPr>
                <w:rFonts w:hint="eastAsia" w:ascii="宋体" w:hAnsi="宋体" w:cs="宋体"/>
                <w:color w:val="auto"/>
                <w:szCs w:val="21"/>
                <w:highlight w:val="none"/>
                <w:lang w:val="en-US" w:eastAsia="zh-CN"/>
              </w:rPr>
              <w:t>②</w:t>
            </w:r>
            <w:r>
              <w:rPr>
                <w:rFonts w:hint="eastAsia" w:ascii="宋体" w:hAnsi="宋体" w:cs="宋体"/>
                <w:color w:val="auto"/>
                <w:szCs w:val="21"/>
                <w:highlight w:val="none"/>
              </w:rPr>
              <w:t>换货；</w:t>
            </w: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降价，但不免除其它正常部分的质量保证责任。如未能在合理的时间内将产品维修、更换或修正以符合规格，采购人有权在合理时间内将产品退回后要求返还已付的价款。</w:t>
            </w:r>
          </w:p>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质保期后：提供技术支持和详细的售后服务计划，按其在东莞地区同类产品的最优惠价格提供保修服务，终身保证配品配件的供应，更换配件的费用以成本计。</w:t>
            </w:r>
          </w:p>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售后服务机构：设有售后服务机构，具有提供日常维护和技术支持的能力，能提供正常的技术、备品备件、服务等；须提机构名称、人员情况、办公地址、联系电话。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6</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7</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合同条款</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8</w:t>
            </w:r>
          </w:p>
        </w:tc>
        <w:tc>
          <w:tcPr>
            <w:tcW w:w="2049" w:type="dxa"/>
            <w:vAlign w:val="center"/>
          </w:tcPr>
          <w:p>
            <w:pPr>
              <w:spacing w:line="360" w:lineRule="auto"/>
              <w:jc w:val="center"/>
              <w:rPr>
                <w:rFonts w:hAnsi="宋体"/>
                <w:bCs/>
                <w:color w:val="auto"/>
                <w:sz w:val="21"/>
                <w:szCs w:val="21"/>
                <w:highlight w:val="none"/>
              </w:rPr>
            </w:pPr>
            <w:r>
              <w:rPr>
                <w:rFonts w:hint="eastAsia" w:hAnsi="宋体"/>
                <w:bCs/>
                <w:color w:val="auto"/>
                <w:sz w:val="21"/>
                <w:szCs w:val="21"/>
                <w:highlight w:val="none"/>
              </w:rPr>
              <w:t>其他服务要求</w:t>
            </w:r>
          </w:p>
        </w:tc>
        <w:tc>
          <w:tcPr>
            <w:tcW w:w="6397" w:type="dxa"/>
            <w:vAlign w:val="center"/>
          </w:tcPr>
          <w:p>
            <w:pPr>
              <w:pStyle w:val="144"/>
              <w:spacing w:line="360" w:lineRule="auto"/>
              <w:ind w:firstLine="0" w:firstLineChars="0"/>
              <w:rPr>
                <w:rFonts w:ascii="宋体" w:hAnsi="宋体"/>
                <w:color w:val="auto"/>
                <w:szCs w:val="21"/>
                <w:highlight w:val="none"/>
              </w:rPr>
            </w:pPr>
            <w:r>
              <w:rPr>
                <w:rFonts w:hint="eastAsia" w:ascii="宋体" w:hAnsi="宋体"/>
                <w:color w:val="auto"/>
                <w:szCs w:val="21"/>
                <w:highlight w:val="none"/>
              </w:rPr>
              <w:t>详见技术需求书。</w:t>
            </w:r>
          </w:p>
        </w:tc>
      </w:tr>
    </w:tbl>
    <w:p>
      <w:pPr>
        <w:pStyle w:val="8"/>
        <w:rPr>
          <w:rFonts w:ascii="宋体" w:hAnsi="宋体"/>
          <w:color w:val="auto"/>
          <w:sz w:val="21"/>
          <w:szCs w:val="21"/>
          <w:highlight w:val="none"/>
        </w:rPr>
      </w:pPr>
    </w:p>
    <w:p>
      <w:pPr>
        <w:rPr>
          <w:b/>
          <w:bCs/>
          <w:color w:val="auto"/>
          <w:sz w:val="28"/>
          <w:szCs w:val="28"/>
          <w:highlight w:val="none"/>
        </w:rPr>
      </w:pPr>
      <w:r>
        <w:rPr>
          <w:rFonts w:hint="eastAsia"/>
          <w:b/>
          <w:bCs/>
          <w:color w:val="auto"/>
          <w:sz w:val="28"/>
          <w:szCs w:val="28"/>
          <w:highlight w:val="none"/>
        </w:rPr>
        <w:br w:type="page"/>
      </w:r>
    </w:p>
    <w:p>
      <w:pPr>
        <w:pStyle w:val="5"/>
        <w:spacing w:line="360" w:lineRule="auto"/>
        <w:jc w:val="center"/>
        <w:rPr>
          <w:b/>
          <w:bCs/>
          <w:color w:val="auto"/>
          <w:sz w:val="28"/>
          <w:szCs w:val="28"/>
          <w:highlight w:val="none"/>
        </w:rPr>
      </w:pPr>
      <w:r>
        <w:rPr>
          <w:rFonts w:hint="eastAsia"/>
          <w:b/>
          <w:bCs/>
          <w:color w:val="auto"/>
          <w:sz w:val="28"/>
          <w:szCs w:val="28"/>
          <w:highlight w:val="none"/>
        </w:rPr>
        <w:t>第二部分 技术需求书</w:t>
      </w:r>
      <w:bookmarkEnd w:id="163"/>
      <w:bookmarkEnd w:id="164"/>
    </w:p>
    <w:p>
      <w:pPr>
        <w:pStyle w:val="6"/>
        <w:spacing w:line="360" w:lineRule="auto"/>
        <w:rPr>
          <w:color w:val="auto"/>
          <w:sz w:val="21"/>
          <w:szCs w:val="21"/>
          <w:highlight w:val="none"/>
        </w:rPr>
      </w:pPr>
      <w:bookmarkStart w:id="168" w:name="_Toc3032"/>
      <w:bookmarkStart w:id="169" w:name="_Toc30247"/>
      <w:r>
        <w:rPr>
          <w:rFonts w:hint="eastAsia"/>
          <w:color w:val="auto"/>
          <w:sz w:val="21"/>
          <w:szCs w:val="21"/>
          <w:highlight w:val="none"/>
        </w:rPr>
        <w:t>一、项目概况</w:t>
      </w:r>
      <w:bookmarkEnd w:id="168"/>
      <w:bookmarkEnd w:id="169"/>
    </w:p>
    <w:p>
      <w:pPr>
        <w:spacing w:line="360" w:lineRule="auto"/>
        <w:ind w:firstLine="420" w:firstLineChars="200"/>
        <w:rPr>
          <w:rFonts w:hAnsi="宋体"/>
          <w:color w:val="auto"/>
          <w:sz w:val="21"/>
          <w:szCs w:val="21"/>
          <w:highlight w:val="none"/>
        </w:rPr>
      </w:pPr>
      <w:bookmarkStart w:id="170" w:name="_Toc30804"/>
      <w:r>
        <w:rPr>
          <w:rFonts w:hint="eastAsia" w:hAnsi="宋体"/>
          <w:color w:val="auto"/>
          <w:sz w:val="21"/>
          <w:szCs w:val="21"/>
          <w:highlight w:val="none"/>
        </w:rPr>
        <w:t>松山湖国际创新创业社区H1-H3栋共有入户门1327樘，为了方便管理，现采购房间入户门联网智能门锁1327套，联网智能门锁管理系统1套。本项目主要内容包括：原有门锁拆除、锁口调整、智能门锁安装及配套网络安装、发卡器及门卡50张、控制系统设备及安装、系统调试、管理人员培训、售后服务等。</w:t>
      </w:r>
    </w:p>
    <w:p>
      <w:pPr>
        <w:pStyle w:val="6"/>
        <w:numPr>
          <w:ilvl w:val="0"/>
          <w:numId w:val="11"/>
        </w:numPr>
        <w:spacing w:line="360" w:lineRule="auto"/>
        <w:rPr>
          <w:color w:val="auto"/>
          <w:sz w:val="21"/>
          <w:szCs w:val="21"/>
          <w:highlight w:val="none"/>
        </w:rPr>
      </w:pPr>
      <w:r>
        <w:rPr>
          <w:rFonts w:hint="eastAsia"/>
          <w:color w:val="auto"/>
          <w:sz w:val="21"/>
          <w:szCs w:val="21"/>
          <w:highlight w:val="none"/>
        </w:rPr>
        <w:t>基本功能</w:t>
      </w:r>
    </w:p>
    <w:p>
      <w:pPr>
        <w:spacing w:line="360" w:lineRule="auto"/>
        <w:ind w:firstLine="420" w:firstLineChars="200"/>
        <w:rPr>
          <w:rFonts w:hAnsi="宋体"/>
          <w:color w:val="auto"/>
          <w:sz w:val="21"/>
          <w:szCs w:val="21"/>
          <w:highlight w:val="none"/>
        </w:rPr>
      </w:pPr>
      <w:r>
        <w:rPr>
          <w:rFonts w:hAnsi="宋体"/>
          <w:color w:val="auto"/>
          <w:sz w:val="21"/>
          <w:szCs w:val="21"/>
          <w:highlight w:val="none"/>
        </w:rPr>
        <w:t>（1）智能门锁系统所有产品能在恶劣的环境中稳定可靠运行，保障门锁、与管理系统不间断运行。</w:t>
      </w:r>
    </w:p>
    <w:p>
      <w:pPr>
        <w:spacing w:line="360" w:lineRule="auto"/>
        <w:ind w:firstLine="420" w:firstLineChars="200"/>
        <w:rPr>
          <w:rFonts w:hAnsi="宋体"/>
          <w:color w:val="auto"/>
          <w:sz w:val="21"/>
          <w:szCs w:val="21"/>
          <w:highlight w:val="none"/>
        </w:rPr>
      </w:pPr>
      <w:r>
        <w:rPr>
          <w:rFonts w:hAnsi="宋体"/>
          <w:color w:val="auto"/>
          <w:sz w:val="21"/>
          <w:szCs w:val="21"/>
          <w:highlight w:val="none"/>
        </w:rPr>
        <w:t>（2）确保智能门锁与管理系统单品与系统的安全性，包括网络的安全。</w:t>
      </w:r>
    </w:p>
    <w:p>
      <w:pPr>
        <w:spacing w:line="360" w:lineRule="auto"/>
        <w:ind w:firstLine="420" w:firstLineChars="200"/>
        <w:rPr>
          <w:rFonts w:hAnsi="宋体"/>
          <w:color w:val="auto"/>
          <w:sz w:val="21"/>
          <w:szCs w:val="21"/>
          <w:highlight w:val="none"/>
        </w:rPr>
      </w:pPr>
      <w:r>
        <w:rPr>
          <w:rFonts w:hAnsi="宋体"/>
          <w:color w:val="auto"/>
          <w:sz w:val="21"/>
          <w:szCs w:val="21"/>
          <w:highlight w:val="none"/>
        </w:rPr>
        <w:t>（3）智能门锁与管理系统的技术性能和质量指标应达到国内领先水平，充分体现当前计算机控制技术与计算机网络技术的最新发展水平，适应时代发展的要求。同时确保智能门锁的安装、系统使用简单便易行，容易掌握。</w:t>
      </w:r>
    </w:p>
    <w:p>
      <w:pPr>
        <w:spacing w:line="360" w:lineRule="auto"/>
        <w:ind w:firstLine="420" w:firstLineChars="200"/>
        <w:rPr>
          <w:rFonts w:hAnsi="宋体"/>
          <w:color w:val="auto"/>
          <w:sz w:val="21"/>
          <w:szCs w:val="21"/>
          <w:highlight w:val="none"/>
        </w:rPr>
      </w:pPr>
      <w:r>
        <w:rPr>
          <w:rFonts w:hAnsi="宋体"/>
          <w:color w:val="auto"/>
          <w:sz w:val="21"/>
          <w:szCs w:val="21"/>
          <w:highlight w:val="none"/>
        </w:rPr>
        <w:t>（4）智能门锁管理系统设计充分考虑到用户实际需要和信息技术发展趋势，根据用户要求，通过严密、有机的组合，实现监控的实用功能，通过信息的共享和系统联动提高资源的利用效率。</w:t>
      </w:r>
    </w:p>
    <w:p>
      <w:pPr>
        <w:spacing w:line="360" w:lineRule="auto"/>
        <w:ind w:firstLine="420" w:firstLineChars="200"/>
        <w:rPr>
          <w:rFonts w:hAnsi="宋体"/>
          <w:color w:val="auto"/>
          <w:sz w:val="21"/>
          <w:szCs w:val="21"/>
          <w:highlight w:val="none"/>
        </w:rPr>
      </w:pPr>
      <w:r>
        <w:rPr>
          <w:rFonts w:hAnsi="宋体"/>
          <w:color w:val="auto"/>
          <w:sz w:val="21"/>
          <w:szCs w:val="21"/>
          <w:highlight w:val="none"/>
        </w:rPr>
        <w:t>（5）智能门锁管理系统设计中考虑到今后技术的发展和使用的需要，具有更新、扩</w:t>
      </w:r>
      <w:r>
        <w:rPr>
          <w:rFonts w:hint="eastAsia" w:hAnsi="宋体"/>
          <w:color w:val="auto"/>
          <w:sz w:val="21"/>
          <w:szCs w:val="21"/>
          <w:highlight w:val="none"/>
          <w:lang w:val="en-US" w:eastAsia="zh-CN"/>
        </w:rPr>
        <w:t>展</w:t>
      </w:r>
      <w:r>
        <w:rPr>
          <w:rFonts w:hAnsi="宋体"/>
          <w:color w:val="auto"/>
          <w:sz w:val="21"/>
          <w:szCs w:val="21"/>
          <w:highlight w:val="none"/>
        </w:rPr>
        <w:t>和升级的可能，并根据今后该系统的实际要求方便扩展系统功能。</w:t>
      </w:r>
      <w:r>
        <w:rPr>
          <w:rFonts w:hint="eastAsia" w:hAnsi="宋体"/>
          <w:color w:val="auto"/>
          <w:sz w:val="21"/>
          <w:szCs w:val="21"/>
          <w:highlight w:val="none"/>
        </w:rPr>
        <w:t>终身免费</w:t>
      </w:r>
      <w:r>
        <w:rPr>
          <w:rFonts w:hint="eastAsia" w:hAnsi="宋体"/>
          <w:color w:val="auto"/>
          <w:sz w:val="21"/>
          <w:szCs w:val="21"/>
          <w:highlight w:val="none"/>
          <w:lang w:val="en-US" w:eastAsia="zh-CN"/>
        </w:rPr>
        <w:t>使用并</w:t>
      </w:r>
      <w:r>
        <w:rPr>
          <w:rFonts w:hint="eastAsia" w:hAnsi="宋体"/>
          <w:color w:val="auto"/>
          <w:sz w:val="21"/>
          <w:szCs w:val="21"/>
          <w:highlight w:val="none"/>
        </w:rPr>
        <w:t>升级。</w:t>
      </w:r>
    </w:p>
    <w:p>
      <w:pPr>
        <w:spacing w:line="360" w:lineRule="auto"/>
        <w:ind w:firstLine="420" w:firstLineChars="200"/>
        <w:rPr>
          <w:rFonts w:hAnsi="宋体"/>
          <w:color w:val="auto"/>
          <w:sz w:val="21"/>
          <w:szCs w:val="21"/>
          <w:highlight w:val="none"/>
        </w:rPr>
      </w:pPr>
      <w:r>
        <w:rPr>
          <w:rFonts w:hAnsi="宋体"/>
          <w:color w:val="auto"/>
          <w:sz w:val="21"/>
          <w:szCs w:val="21"/>
          <w:highlight w:val="none"/>
        </w:rPr>
        <w:t xml:space="preserve">（6）智能门锁可通过实现对门锁的开门记录、电量等，实时掌握情况。 </w:t>
      </w:r>
    </w:p>
    <w:p>
      <w:pPr>
        <w:spacing w:line="360" w:lineRule="auto"/>
        <w:ind w:firstLine="420" w:firstLineChars="200"/>
        <w:rPr>
          <w:rFonts w:hAnsi="宋体"/>
          <w:color w:val="auto"/>
          <w:sz w:val="21"/>
          <w:szCs w:val="21"/>
          <w:highlight w:val="none"/>
        </w:rPr>
      </w:pPr>
      <w:r>
        <w:rPr>
          <w:rFonts w:hAnsi="宋体"/>
          <w:color w:val="auto"/>
          <w:sz w:val="21"/>
          <w:szCs w:val="21"/>
          <w:highlight w:val="none"/>
        </w:rPr>
        <w:t>（7）经济性：在保证系统性能优异的前提下充分考虑系统的成本，通过优化设计，选择最合理实用的系统设备及售后服务。</w:t>
      </w:r>
    </w:p>
    <w:bookmarkEnd w:id="170"/>
    <w:p>
      <w:pPr>
        <w:pStyle w:val="6"/>
        <w:numPr>
          <w:ilvl w:val="0"/>
          <w:numId w:val="11"/>
        </w:numPr>
        <w:spacing w:line="360" w:lineRule="auto"/>
        <w:rPr>
          <w:color w:val="auto"/>
          <w:sz w:val="21"/>
          <w:szCs w:val="21"/>
          <w:highlight w:val="none"/>
        </w:rPr>
      </w:pPr>
      <w:r>
        <w:rPr>
          <w:rFonts w:hint="eastAsia"/>
          <w:color w:val="auto"/>
          <w:sz w:val="21"/>
          <w:szCs w:val="21"/>
          <w:highlight w:val="none"/>
        </w:rPr>
        <w:t>智能门锁技术要求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（1）工作电源：使用干电池供电（待机时间不少于</w:t>
      </w:r>
      <w:r>
        <w:rPr>
          <w:rFonts w:hAnsi="宋体"/>
          <w:color w:val="auto"/>
          <w:sz w:val="21"/>
          <w:szCs w:val="21"/>
          <w:highlight w:val="none"/>
        </w:rPr>
        <w:t>180</w:t>
      </w:r>
      <w:r>
        <w:rPr>
          <w:rFonts w:hint="eastAsia" w:hAnsi="宋体"/>
          <w:color w:val="auto"/>
          <w:sz w:val="21"/>
          <w:szCs w:val="21"/>
          <w:highlight w:val="none"/>
        </w:rPr>
        <w:t>天），待机电流不高于60微安，动态电流小于200毫安。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门锁支持卡型：需具备不少于5种开门模式，同时支持蓝牙手机开锁、NFC、全触摸密码开锁、IC卡、机械钥匙等（3）开门方式：手机APP开门、刷卡开门、远程开门、密码开门（临时、永久、时效密码）、机械钥匙开门、临时授权开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（4）锁体：不锈钢拉丝面、五锁舌防撬锁体、B级锁芯，不锈钢锁舌，支持防盗门锁体（符合GA 374-2001标准），主锁舌采用 “一体式加强型主锁舌”提供样品及图片盖章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（5）材质：铝合金材质，厚度1.5mm及以上。控制器采用工业级元器件，电路板需加装三防设计。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（6）锁芯：锁芯为铜质，安全等级为B级及以上；锁体执手机械寿命大于20万次 （需提供第三方检测报告并加盖原厂公章）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（7）低电压告警与提醒：当工作电压低于一定电压时，开门时有低电量提示，后台有电量显示和通知告警。</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（8）防破坏报警：防护面遭受外力破坏，支持声光报警和报警信号输出。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联网：采用蓝牙通信的方式，连接至各楼层的网关，当网络出现故障无法正常连接，门锁可运行于脱机模式。新增用户可通过手机下发，记录在网络恢复后可上传。（10）应急开锁：隐藏式应急锁孔设计，及外接电源口。电池电量不足时，充电宝可供电且机械钥匙开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（11）需符合GA 374-2001标准并具有公安部安全与警用电子产品质量检测中心出具的检验报告。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（12）授权及软件：智能门锁授权数量不限制。软件全覆盖单机版智能门锁功能。支持异地网络开门，门锁远程授权及取消，门锁固件网络化集中升级。</w:t>
      </w:r>
    </w:p>
    <w:p>
      <w:pPr>
        <w:pStyle w:val="6"/>
        <w:numPr>
          <w:ilvl w:val="0"/>
          <w:numId w:val="11"/>
        </w:numPr>
        <w:spacing w:line="360" w:lineRule="auto"/>
        <w:rPr>
          <w:color w:val="auto"/>
          <w:sz w:val="21"/>
          <w:szCs w:val="21"/>
          <w:highlight w:val="none"/>
        </w:rPr>
      </w:pPr>
      <w:r>
        <w:rPr>
          <w:rFonts w:hint="eastAsia"/>
          <w:color w:val="auto"/>
          <w:sz w:val="21"/>
          <w:szCs w:val="21"/>
          <w:highlight w:val="none"/>
        </w:rPr>
        <w:t>管理系统技术要求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（1）.平台架构：系统管理方式支持网络式、多用户、多角色管理。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（2）.分权管理：可以根据用户所属按照楼栋、楼层分区域管理。系统的操作员可以分为多个级别。级别低的操作员只能对信息进行监视，而级别最高的操作员可以对系统内的任何权限进行修改。</w:t>
      </w:r>
    </w:p>
    <w:p>
      <w:pPr>
        <w:spacing w:line="360" w:lineRule="auto"/>
        <w:ind w:firstLine="420" w:firstLineChars="200"/>
        <w:rPr>
          <w:rFonts w:hint="eastAsia" w:hAnsi="宋体" w:eastAsia="宋体"/>
          <w:color w:val="auto"/>
          <w:sz w:val="21"/>
          <w:szCs w:val="21"/>
          <w:highlight w:val="none"/>
          <w:lang w:val="en-US" w:eastAsia="zh-CN"/>
        </w:rPr>
      </w:pPr>
      <w:r>
        <w:rPr>
          <w:rFonts w:hint="eastAsia" w:hAnsi="宋体"/>
          <w:color w:val="auto"/>
          <w:sz w:val="21"/>
          <w:szCs w:val="21"/>
          <w:highlight w:val="none"/>
        </w:rPr>
        <w:t>（3）.兼容性：提供开放的API框架，完成智能设备的安全接入、远程控制、状态查询、OTA版本升级等功能以及第三方APP的安全接入。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（5）.移动端软件：APP必须同时支持Android 与 IOS系统。Android版APP在各大应用商店均可下载，IOS版APP可在苹果的APPLE Store下载。APP需同时提供管理员功能与用户功能。管理员端可通过APP查看分栋、分楼层、分房间号、房间空置、绑定设备、授权用户等基本信息。（提供系统截图并盖章）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（6）．数据查询：可以查询开锁记录数据。包括时间，开锁方式（刷卡、临时授权、手机开门、钥匙开门等）等。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（7）．门锁电量告警：电池出现低电压即告警，后台提示管理人员。</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（8）．门锁状态实时监控功能：可在管理系统软件自定义查看电池电量；点击实时反映使用智能锁具的状态，并可查询历史开锁数据。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（9）智能管理APP智能设备控制功能：支持开门、授权、配置/修改数字密码、解绑设备、删除添加用户等功能。</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（10）智能管理APP基本功能：支持门锁的绑定、解绑、开门、授权、配置密码、重置钥匙、查看开门记录、状态查看、电量查看以及版本升级。     </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（11）系统平台需保证终生使用，无需额外付费。</w:t>
      </w:r>
    </w:p>
    <w:p>
      <w:pPr>
        <w:pStyle w:val="6"/>
        <w:numPr>
          <w:ilvl w:val="0"/>
          <w:numId w:val="11"/>
        </w:numPr>
        <w:spacing w:line="360" w:lineRule="auto"/>
        <w:rPr>
          <w:color w:val="auto"/>
          <w:sz w:val="21"/>
          <w:szCs w:val="21"/>
          <w:highlight w:val="none"/>
        </w:rPr>
      </w:pPr>
      <w:r>
        <w:rPr>
          <w:rFonts w:hint="eastAsia"/>
          <w:color w:val="auto"/>
          <w:sz w:val="21"/>
          <w:szCs w:val="21"/>
          <w:highlight w:val="none"/>
        </w:rPr>
        <w:t>采购清单</w:t>
      </w:r>
    </w:p>
    <w:tbl>
      <w:tblPr>
        <w:tblStyle w:val="5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5"/>
        <w:gridCol w:w="2058"/>
        <w:gridCol w:w="4331"/>
        <w:gridCol w:w="822"/>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19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1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3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智能门锁（主材）</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1.材质：前后面板及把手：铝合金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2.表面处理：喷油、黑色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3.锁体：不锈钢双锁舌带防撞舌，锁芯级别：≥B级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4.功能:蓝牙、密码、卡、机械钥匙、NFC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5.通过APP可远程：发送密码、终止密码、时时查看记录、远程开门、查看电量等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6.其他：含干电池，待机时长≥8个月</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智能门锁（安装）</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1.智能门锁及锁舌安装及调试</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门锁改孔及旧锁拆卸</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1.其他:旧锁拆卸及门锁改孔</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蓝牙智能网关/中英文</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1.入网及供电方式：网线入网、供电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2.通讯方式：</w:t>
            </w:r>
            <w:r>
              <w:rPr>
                <w:rFonts w:hint="eastAsia" w:hAnsi="宋体" w:cs="宋体"/>
                <w:i w:val="0"/>
                <w:iCs w:val="0"/>
                <w:color w:val="auto"/>
                <w:kern w:val="0"/>
                <w:sz w:val="20"/>
                <w:szCs w:val="20"/>
                <w:highlight w:val="none"/>
                <w:u w:val="none"/>
                <w:lang w:val="en-US" w:eastAsia="zh-CN" w:bidi="ar"/>
              </w:rPr>
              <w:t>蓝牙</w:t>
            </w:r>
            <w:r>
              <w:rPr>
                <w:rFonts w:hint="eastAsia" w:ascii="宋体" w:hAnsi="宋体" w:eastAsia="宋体" w:cs="宋体"/>
                <w:i w:val="0"/>
                <w:iCs w:val="0"/>
                <w:color w:val="auto"/>
                <w:kern w:val="0"/>
                <w:sz w:val="20"/>
                <w:szCs w:val="20"/>
                <w:highlight w:val="none"/>
                <w:u w:val="none"/>
                <w:lang w:val="en-US" w:eastAsia="zh-CN" w:bidi="ar"/>
              </w:rPr>
              <w:t>无线通讯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3.有效距离：空旷20m内</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1.企业级全千兆三层网管交换机交换器网络分线器支持动态静态路由vlan端口镜像汇聚隔离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2.交换机8口千兆+2个千兆SFP光口</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1.24口全千兆Web网管 云管理交换机 2个千兆SFP端口 企业级 监控网络网线分线器</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企业级POE交换机网络分线器 集线器分流器 即插即用 支持AP供电 16口百兆</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企业级9口百兆8口POE非网管PoE交换机 </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千兆单模双纤SFP光模块</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千兆单模双纤SFP光模块 光纤</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1.名称:电线管暗配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2.材质:SC20内</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11176.46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CAT5网线</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1.名称:网线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2.规格:CAT5</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10826.46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1.名称:光纤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2.其他：安装</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全网通手机</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1.移动端管理软件安装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2.运行内存≥8GB+机身内存≥256GB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3.CPU核数八核、双卡双卡双待4G\5G网络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4.系统：鸿蒙、安卓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5.屏幕尺寸≥6.5英寸</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联网智能门锁管理系统</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1.配套管理软件安装、调试及培训</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发卡器设备及授权门卡</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1.名称:发卡器及授权卡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2.规格:授权门卡暂定50张</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住宅智能化系统试运行</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1.系统试运行调试</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双绞线缆测试</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链路</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光纤测试</w:t>
            </w:r>
          </w:p>
        </w:tc>
        <w:tc>
          <w:tcPr>
            <w:tcW w:w="21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链路</w:t>
            </w:r>
          </w:p>
        </w:tc>
        <w:tc>
          <w:tcPr>
            <w:tcW w:w="73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bl>
    <w:p>
      <w:pPr>
        <w:rPr>
          <w:color w:val="auto"/>
          <w:highlight w:val="none"/>
        </w:rPr>
      </w:pPr>
    </w:p>
    <w:p>
      <w:pPr>
        <w:pStyle w:val="6"/>
        <w:numPr>
          <w:ilvl w:val="0"/>
          <w:numId w:val="11"/>
        </w:numPr>
        <w:spacing w:line="360" w:lineRule="auto"/>
        <w:rPr>
          <w:color w:val="auto"/>
          <w:sz w:val="21"/>
          <w:szCs w:val="21"/>
          <w:highlight w:val="none"/>
        </w:rPr>
      </w:pPr>
      <w:r>
        <w:rPr>
          <w:rFonts w:hint="eastAsia"/>
          <w:color w:val="auto"/>
          <w:sz w:val="21"/>
          <w:szCs w:val="21"/>
          <w:highlight w:val="none"/>
        </w:rPr>
        <w:t>设备技术参数要求</w:t>
      </w:r>
    </w:p>
    <w:tbl>
      <w:tblPr>
        <w:tblStyle w:val="5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8"/>
        <w:gridCol w:w="1450"/>
        <w:gridCol w:w="7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产品名称</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智能门锁</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1.材质：前后面板及把手：铝合金，厚度1.5mm及以上。控制器采用工业级元器件，电路板需加装三防设计。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2.表面处理：喷油、黑色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3.锁体：不锈钢双锁舌带防撞舌，支持防盗门锁体（符合GA 374-2001标准），锁芯级别：≥B级，锁体执手机械寿命≥20万次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4.功能:蓝牙、密码、卡、机械钥匙、NFC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5.通过APP可远程：发送密码、终止密码、时时查看记录、远程开门、查看电量等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6.其他：含干电池，待机时长≥8个月，待机电流不高于60微安，动态电流小于200毫安。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7.低电压告警与提醒：当工作电压低于一定电压时，开门时有低电量提示，后台有电量显示和通知告警。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8.防破坏报警：防护面遭受外力破坏，支持声光报警和报警信号输出。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9.联网：采用蓝牙通信的方式，对于无线联网门锁，当网络出现故障无法正常连接，门锁可运行于脱机模式。新增用户可通过手机下发，记录在网络恢复后可上传。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10.应急开锁：隐藏式应急锁孔设计，及外接电源口。电池电量不足时，充电宝可供电且机械钥匙开锁。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11.需符合GA 374-2001标准并具有公安部安全与警用电子产品质量检测中心出具的检验报告。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12.授权及软件：智能门锁授权数量不限制。软件全覆盖单机版智能门锁功能。支持异地网络开门，门锁远程授权及取消，门锁固件网络化集中升级。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蓝牙智能网关/中英文</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1.入网及供电方式：网线入网、供电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2.通讯方式：</w:t>
            </w:r>
            <w:r>
              <w:rPr>
                <w:rFonts w:hint="eastAsia" w:hAnsi="宋体" w:cs="宋体"/>
                <w:i w:val="0"/>
                <w:iCs w:val="0"/>
                <w:color w:val="auto"/>
                <w:kern w:val="0"/>
                <w:sz w:val="21"/>
                <w:szCs w:val="21"/>
                <w:highlight w:val="none"/>
                <w:u w:val="none"/>
                <w:lang w:val="en-US" w:eastAsia="zh-CN" w:bidi="ar"/>
              </w:rPr>
              <w:t>蓝牙</w:t>
            </w:r>
            <w:r>
              <w:rPr>
                <w:rFonts w:hint="eastAsia" w:ascii="宋体" w:hAnsi="宋体" w:eastAsia="宋体" w:cs="宋体"/>
                <w:i w:val="0"/>
                <w:iCs w:val="0"/>
                <w:color w:val="auto"/>
                <w:kern w:val="0"/>
                <w:sz w:val="21"/>
                <w:szCs w:val="21"/>
                <w:highlight w:val="none"/>
                <w:u w:val="none"/>
                <w:lang w:val="en-US" w:eastAsia="zh-CN" w:bidi="ar"/>
              </w:rPr>
              <w:t>无线通讯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3.有效距离：空旷20m内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1.名称：企业级全千兆三层网管交换机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2.适用场景：接入交换机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3.路由：支持动态静态路由vlan端口镜像汇聚隔离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4.规格：桌面式交换机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5.云管理交换机：支持云管理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6.端口速率：千兆*8+2个千兆SFP光口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1.名称：企业级云管理交换机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2.适用场景：接入交换机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3.规格：桌面式交换机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4.端口数量：24口+2个千兆SFP端口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5.管理交换机：支持云管理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6.下行端口速率：千兆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7.下行接口类型：以太网交换机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企业级9口百兆8口POE非网管PoE交换机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1.名称：企业级POE交换机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2.上行端口速率：≥百兆套装：单品下行端口速率：≥百兆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3.适用网络：微型网络，端口数量：≥16口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4.功能：网络分线器 集线器分流器 即插即用 支持AP供电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5.供电：支持AP供电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1.名称：PoE交换机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2.上行端口速率：≥百兆套装：单品下行端口速率：≥百兆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3.适用网络：微型网络，端口数量：≥9口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4.接口类型：以太网交换机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5.端口供电功能：POE供电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全网通手机</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1.平稳运行移动端管理软件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2.运行内存≥8GB+机身内存≥256GB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3.CPU核数八核、双卡双卡双待，网络制式支持联通 4G+/4G/3G/2G，移动 4G+/4G/2G ,电信4G+/4G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4.系统：鸿蒙、安卓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5.屏幕尺寸≥6.5英寸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6.电池容量6000mAh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7.后置双摄摄像头：≥4800万像素主摄摄像头+200万像素景深摄像头、前置摄像头前置单摄：≥800万像素。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8.屏幕尺寸：≥6.5+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9.分辨率HD+ 1600x720</w:t>
            </w:r>
          </w:p>
        </w:tc>
      </w:tr>
    </w:tbl>
    <w:p>
      <w:pPr>
        <w:pStyle w:val="50"/>
        <w:ind w:left="0" w:leftChars="0" w:firstLine="0" w:firstLineChars="0"/>
        <w:rPr>
          <w:color w:val="auto"/>
          <w:highlight w:val="none"/>
        </w:rPr>
      </w:pPr>
    </w:p>
    <w:p>
      <w:pPr>
        <w:pStyle w:val="3"/>
        <w:keepNext w:val="0"/>
        <w:keepLines w:val="0"/>
        <w:pageBreakBefore w:val="0"/>
        <w:widowControl/>
        <w:kinsoku/>
        <w:wordWrap/>
        <w:overflowPunct/>
        <w:topLinePunct w:val="0"/>
        <w:autoSpaceDE/>
        <w:autoSpaceDN/>
        <w:bidi w:val="0"/>
        <w:adjustRightInd/>
        <w:snapToGrid/>
        <w:spacing w:line="360" w:lineRule="auto"/>
        <w:ind w:firstLine="210"/>
        <w:textAlignment w:val="auto"/>
        <w:rPr>
          <w:rFonts w:hint="eastAsia"/>
          <w:color w:val="auto"/>
          <w:highlight w:val="none"/>
        </w:rPr>
      </w:pPr>
      <w:bookmarkStart w:id="171" w:name="_Toc20858"/>
      <w:r>
        <w:rPr>
          <w:rFonts w:hint="eastAsia"/>
          <w:color w:val="auto"/>
          <w:highlight w:val="none"/>
        </w:rPr>
        <w:t>七、工期要求</w:t>
      </w:r>
    </w:p>
    <w:p>
      <w:pPr>
        <w:pStyle w:val="3"/>
        <w:keepNext w:val="0"/>
        <w:keepLines w:val="0"/>
        <w:pageBreakBefore w:val="0"/>
        <w:widowControl/>
        <w:kinsoku/>
        <w:wordWrap/>
        <w:overflowPunct/>
        <w:topLinePunct w:val="0"/>
        <w:autoSpaceDE/>
        <w:autoSpaceDN/>
        <w:bidi w:val="0"/>
        <w:adjustRightInd/>
        <w:snapToGrid/>
        <w:spacing w:line="360" w:lineRule="auto"/>
        <w:ind w:firstLine="210"/>
        <w:textAlignment w:val="auto"/>
        <w:rPr>
          <w:rFonts w:hint="eastAsia"/>
          <w:color w:val="auto"/>
          <w:highlight w:val="none"/>
        </w:rPr>
      </w:pPr>
      <w:r>
        <w:rPr>
          <w:rFonts w:hint="eastAsia"/>
          <w:color w:val="auto"/>
          <w:highlight w:val="none"/>
        </w:rPr>
        <w:t>（1）投标人在收到“开工令”后的</w:t>
      </w:r>
      <w:r>
        <w:rPr>
          <w:rFonts w:hint="eastAsia"/>
          <w:color w:val="auto"/>
          <w:highlight w:val="none"/>
          <w:lang w:val="en-US" w:eastAsia="zh-CN"/>
        </w:rPr>
        <w:t>60</w:t>
      </w:r>
      <w:r>
        <w:rPr>
          <w:rFonts w:hint="eastAsia"/>
          <w:color w:val="auto"/>
          <w:highlight w:val="none"/>
        </w:rPr>
        <w:t>个日历日完成安装和调试。</w:t>
      </w:r>
    </w:p>
    <w:p>
      <w:pPr>
        <w:pStyle w:val="3"/>
        <w:keepNext w:val="0"/>
        <w:keepLines w:val="0"/>
        <w:pageBreakBefore w:val="0"/>
        <w:widowControl/>
        <w:kinsoku/>
        <w:wordWrap/>
        <w:overflowPunct/>
        <w:topLinePunct w:val="0"/>
        <w:autoSpaceDE/>
        <w:autoSpaceDN/>
        <w:bidi w:val="0"/>
        <w:adjustRightInd/>
        <w:snapToGrid/>
        <w:spacing w:line="360" w:lineRule="auto"/>
        <w:ind w:firstLine="210"/>
        <w:textAlignment w:val="auto"/>
        <w:rPr>
          <w:rFonts w:hint="eastAsia"/>
          <w:color w:val="auto"/>
          <w:highlight w:val="none"/>
        </w:rPr>
      </w:pPr>
      <w:r>
        <w:rPr>
          <w:rFonts w:hint="eastAsia"/>
          <w:color w:val="auto"/>
          <w:highlight w:val="none"/>
        </w:rPr>
        <w:t>（2）本工程要求按合同工期竣工交付使用，不得拖延，每拖延一天扣合同价款的千分之一。</w:t>
      </w:r>
    </w:p>
    <w:p>
      <w:pPr>
        <w:pStyle w:val="3"/>
        <w:keepNext w:val="0"/>
        <w:keepLines w:val="0"/>
        <w:pageBreakBefore w:val="0"/>
        <w:widowControl/>
        <w:kinsoku/>
        <w:wordWrap/>
        <w:overflowPunct/>
        <w:topLinePunct w:val="0"/>
        <w:autoSpaceDE/>
        <w:autoSpaceDN/>
        <w:bidi w:val="0"/>
        <w:adjustRightInd/>
        <w:snapToGrid/>
        <w:spacing w:line="360" w:lineRule="auto"/>
        <w:ind w:firstLine="210"/>
        <w:textAlignment w:val="auto"/>
        <w:rPr>
          <w:rFonts w:hint="eastAsia"/>
          <w:color w:val="auto"/>
          <w:highlight w:val="none"/>
        </w:rPr>
      </w:pPr>
      <w:r>
        <w:rPr>
          <w:rFonts w:hint="eastAsia"/>
          <w:color w:val="auto"/>
          <w:highlight w:val="none"/>
        </w:rPr>
        <w:t>（3）本项目需包工包料交钥匙工程。</w:t>
      </w:r>
    </w:p>
    <w:p>
      <w:pPr>
        <w:pStyle w:val="3"/>
        <w:keepNext w:val="0"/>
        <w:keepLines w:val="0"/>
        <w:pageBreakBefore w:val="0"/>
        <w:widowControl/>
        <w:kinsoku/>
        <w:wordWrap/>
        <w:overflowPunct/>
        <w:topLinePunct w:val="0"/>
        <w:autoSpaceDE/>
        <w:autoSpaceDN/>
        <w:bidi w:val="0"/>
        <w:adjustRightInd/>
        <w:snapToGrid/>
        <w:spacing w:line="360" w:lineRule="auto"/>
        <w:ind w:firstLine="210"/>
        <w:textAlignment w:val="auto"/>
        <w:rPr>
          <w:rFonts w:hint="eastAsia"/>
          <w:color w:val="auto"/>
          <w:highlight w:val="none"/>
        </w:rPr>
      </w:pPr>
      <w:r>
        <w:rPr>
          <w:rFonts w:hint="eastAsia"/>
          <w:color w:val="auto"/>
          <w:highlight w:val="none"/>
        </w:rPr>
        <w:t>八、保修</w:t>
      </w:r>
    </w:p>
    <w:p>
      <w:pPr>
        <w:pStyle w:val="3"/>
        <w:keepNext w:val="0"/>
        <w:keepLines w:val="0"/>
        <w:pageBreakBefore w:val="0"/>
        <w:widowControl/>
        <w:kinsoku/>
        <w:wordWrap/>
        <w:overflowPunct/>
        <w:topLinePunct w:val="0"/>
        <w:autoSpaceDE/>
        <w:autoSpaceDN/>
        <w:bidi w:val="0"/>
        <w:adjustRightInd/>
        <w:snapToGrid/>
        <w:spacing w:line="360" w:lineRule="auto"/>
        <w:ind w:firstLine="210"/>
        <w:textAlignment w:val="auto"/>
        <w:rPr>
          <w:rFonts w:hint="eastAsia"/>
          <w:color w:val="auto"/>
          <w:highlight w:val="none"/>
        </w:rPr>
      </w:pPr>
      <w:r>
        <w:rPr>
          <w:rFonts w:hint="eastAsia"/>
          <w:color w:val="auto"/>
          <w:highlight w:val="none"/>
        </w:rPr>
        <w:t>本项目质保期2年。</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质保期内：</w:t>
      </w:r>
    </w:p>
    <w:p>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故障响应时间：质保期内需提供</w:t>
      </w:r>
      <w:r>
        <w:rPr>
          <w:color w:val="auto"/>
          <w:highlight w:val="none"/>
        </w:rPr>
        <w:t>5</w:t>
      </w:r>
      <w:r>
        <w:rPr>
          <w:rFonts w:hint="eastAsia"/>
          <w:color w:val="auto"/>
          <w:highlight w:val="none"/>
        </w:rPr>
        <w:t>把门锁作为应急备用使用。货物出现质量问题，成交供应商接到质量问题通知后2个小时内到场处理，6个小时内修复，如无法修复须提供相应规格的货物供采购人替代使用；其他服务承诺在磋商响应文件中说明。</w:t>
      </w:r>
    </w:p>
    <w:p>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如果货物不能稳定地达到成交供应商承诺的全部功能，成交供应商应对此承担责任并承担全部相关费用以及采购人的直接损失，经采购人同意对货物采用如下一种或几种方式处理：</w:t>
      </w:r>
      <w:r>
        <w:rPr>
          <w:rFonts w:hint="eastAsia"/>
          <w:color w:val="auto"/>
          <w:highlight w:val="none"/>
          <w:lang w:val="en-US" w:eastAsia="zh-CN"/>
        </w:rPr>
        <w:t>①</w:t>
      </w:r>
      <w:r>
        <w:rPr>
          <w:rFonts w:hint="eastAsia"/>
          <w:color w:val="auto"/>
          <w:highlight w:val="none"/>
        </w:rPr>
        <w:t>免费维修和更换损坏零部件；</w:t>
      </w:r>
      <w:r>
        <w:rPr>
          <w:rFonts w:hint="eastAsia"/>
          <w:color w:val="auto"/>
          <w:highlight w:val="none"/>
          <w:lang w:val="en-US" w:eastAsia="zh-CN"/>
        </w:rPr>
        <w:t>②</w:t>
      </w:r>
      <w:r>
        <w:rPr>
          <w:rFonts w:hint="eastAsia"/>
          <w:color w:val="auto"/>
          <w:highlight w:val="none"/>
        </w:rPr>
        <w:t>换货；</w:t>
      </w:r>
      <w:r>
        <w:rPr>
          <w:rFonts w:hint="eastAsia"/>
          <w:color w:val="auto"/>
          <w:highlight w:val="none"/>
          <w:lang w:val="en-US" w:eastAsia="zh-CN"/>
        </w:rPr>
        <w:t>③</w:t>
      </w:r>
      <w:r>
        <w:rPr>
          <w:rFonts w:hint="eastAsia"/>
          <w:color w:val="auto"/>
          <w:highlight w:val="none"/>
        </w:rPr>
        <w:t>降价，但不免除其它正常部分的质量保证责任。如成交供应商未能在合理的时间内将产品维修、更换或修正以符合规格，采购人有权在合理时间内将产品退回成交供应商后要求返还已付的价款。</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color w:val="auto"/>
          <w:highlight w:val="none"/>
        </w:rPr>
        <w:t>2、质保期后：提供技术支持和详细的售后服务计划，成交供应商应按其在东莞地区同类产品的最优惠价格提供保修服务，终身保证配品配件的供应，更换配件的费用以成本计算。</w:t>
      </w:r>
      <w:r>
        <w:rPr>
          <w:rFonts w:hint="eastAsia"/>
          <w:color w:val="auto"/>
          <w:highlight w:val="none"/>
          <w:lang w:val="en-US" w:eastAsia="zh-CN"/>
        </w:rPr>
        <w:t>门锁管理平台终身免费使用并提供升级服务。</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3、售后服务机构：设有固定的维修点或售后服务机构，具有提供日常维护和技术支持的能力，能提供正常的技术、备品备件、服务等；须提供服务机构名称、人员情况、办公地址、联系电话。</w:t>
      </w:r>
    </w:p>
    <w:bookmarkEnd w:id="165"/>
    <w:bookmarkEnd w:id="171"/>
    <w:p>
      <w:pPr>
        <w:pStyle w:val="5"/>
        <w:keepNext/>
        <w:keepLines/>
        <w:pageBreakBefore/>
        <w:numPr>
          <w:ilvl w:val="0"/>
          <w:numId w:val="14"/>
        </w:numPr>
        <w:spacing w:line="360" w:lineRule="auto"/>
        <w:jc w:val="center"/>
        <w:rPr>
          <w:rFonts w:hAnsi="宋体"/>
          <w:b/>
          <w:bCs/>
          <w:color w:val="auto"/>
          <w:kern w:val="44"/>
          <w:sz w:val="28"/>
          <w:szCs w:val="28"/>
          <w:highlight w:val="none"/>
          <w:lang w:val="zh-CN"/>
        </w:rPr>
      </w:pPr>
      <w:bookmarkStart w:id="172" w:name="_Toc28792"/>
      <w:bookmarkStart w:id="173" w:name="_Toc4437"/>
      <w:r>
        <w:rPr>
          <w:rFonts w:hint="eastAsia" w:hAnsi="宋体"/>
          <w:b/>
          <w:bCs/>
          <w:color w:val="auto"/>
          <w:kern w:val="44"/>
          <w:sz w:val="28"/>
          <w:szCs w:val="28"/>
          <w:highlight w:val="none"/>
          <w:lang w:val="zh-CN"/>
        </w:rPr>
        <w:t>评审工作大纲</w:t>
      </w:r>
      <w:bookmarkEnd w:id="172"/>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（一）资格性检查</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1)资格瑕疵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2)磋商保证金瑕疵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（二）符合性检查</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3)技术响应瑕疵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4)商务响应瑕疵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6）违规行为</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5"/>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29"/>
        <w:spacing w:line="360" w:lineRule="auto"/>
        <w:ind w:firstLine="422" w:firstLineChars="200"/>
        <w:outlineLvl w:val="0"/>
        <w:rPr>
          <w:rFonts w:hAnsi="宋体"/>
          <w:b/>
          <w:bCs/>
          <w:color w:val="auto"/>
          <w:szCs w:val="21"/>
          <w:highlight w:val="none"/>
        </w:rPr>
      </w:pPr>
      <w:r>
        <w:rPr>
          <w:rFonts w:hint="eastAsia" w:hAnsi="宋体"/>
          <w:b/>
          <w:bCs/>
          <w:color w:val="auto"/>
          <w:szCs w:val="21"/>
          <w:highlight w:val="none"/>
        </w:rPr>
        <w:t>三、评审因素及评分权重</w:t>
      </w:r>
      <w:bookmarkEnd w:id="173"/>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价格评分（50分）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50分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rPr>
                <w:color w:val="auto"/>
                <w:kern w:val="2"/>
                <w:sz w:val="21"/>
                <w:szCs w:val="21"/>
                <w:highlight w:val="none"/>
              </w:rPr>
            </w:pPr>
            <w:r>
              <w:rPr>
                <w:rFonts w:hint="eastAsia"/>
                <w:color w:val="auto"/>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商务评分（15分）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12分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供应商2018年至今承接智能门锁采购安装相关业绩的，每个得3分，本项最高得12分：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注：须同时提供以下证明材料加盖公章：①合同主要页复印件；②客户联系人及电话以查证；③与项目相关的发票或完税证明等材料（张数不限）。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企业实力</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供应商具有由国家认证认可监督管理部门批准设立的认证机构颁发并在有效期内的质量管理体系认证证书、环境管理体系认证证书、职业健康安全管理体系认证证书，每个得1分；最高3分。</w:t>
            </w:r>
          </w:p>
          <w:p>
            <w:pPr>
              <w:spacing w:line="360" w:lineRule="auto"/>
              <w:rPr>
                <w:rFonts w:hAnsi="宋体"/>
                <w:color w:val="auto"/>
                <w:sz w:val="21"/>
                <w:szCs w:val="21"/>
                <w:highlight w:val="none"/>
              </w:rPr>
            </w:pPr>
            <w:r>
              <w:rPr>
                <w:rFonts w:hint="eastAsia" w:hAnsi="宋体"/>
                <w:color w:val="auto"/>
                <w:sz w:val="21"/>
                <w:szCs w:val="21"/>
                <w:highlight w:val="none"/>
              </w:rPr>
              <w:t>注：须提供证书复印件加盖供应商公章。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技术评分（35分）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项目实施方案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lang w:val="zh-CN"/>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根据供应商提供的项目实施方案（包括不限于施工</w:t>
            </w:r>
            <w:r>
              <w:rPr>
                <w:rFonts w:hint="eastAsia" w:hAnsi="宋体"/>
                <w:bCs/>
                <w:color w:val="auto"/>
                <w:sz w:val="21"/>
                <w:szCs w:val="21"/>
                <w:highlight w:val="none"/>
              </w:rPr>
              <w:t>进度安排、项目验收方案、货物运输及保护措施、</w:t>
            </w:r>
            <w:r>
              <w:rPr>
                <w:rFonts w:hint="eastAsia" w:hAnsi="宋体"/>
                <w:color w:val="auto"/>
                <w:sz w:val="21"/>
                <w:szCs w:val="21"/>
                <w:highlight w:val="none"/>
              </w:rPr>
              <w:t>安装调试方案、系统开发内容）进行评审：</w:t>
            </w:r>
          </w:p>
          <w:p>
            <w:pPr>
              <w:spacing w:line="360" w:lineRule="auto"/>
              <w:rPr>
                <w:rFonts w:hAnsi="宋体"/>
                <w:color w:val="auto"/>
                <w:sz w:val="21"/>
                <w:szCs w:val="21"/>
                <w:highlight w:val="none"/>
              </w:rPr>
            </w:pPr>
            <w:r>
              <w:rPr>
                <w:rFonts w:hint="eastAsia" w:hAnsi="宋体"/>
                <w:color w:val="auto"/>
                <w:sz w:val="21"/>
                <w:szCs w:val="21"/>
                <w:highlight w:val="none"/>
              </w:rPr>
              <w:t>①针对本项目特征制定的实施方案的可靠性、可行性、安全性非常高的，进度计划安排非常科学合理，可行性强的，系统开发内容优于用户需求的，得6分；</w:t>
            </w:r>
          </w:p>
          <w:p>
            <w:pPr>
              <w:spacing w:line="360" w:lineRule="auto"/>
              <w:rPr>
                <w:rFonts w:hAnsi="宋体"/>
                <w:color w:val="auto"/>
                <w:sz w:val="21"/>
                <w:szCs w:val="21"/>
                <w:highlight w:val="none"/>
              </w:rPr>
            </w:pPr>
            <w:r>
              <w:rPr>
                <w:rFonts w:hint="eastAsia" w:hAnsi="宋体"/>
                <w:color w:val="auto"/>
                <w:sz w:val="21"/>
                <w:szCs w:val="21"/>
                <w:highlight w:val="none"/>
              </w:rPr>
              <w:t>②针对本项目特征制定的实施方案的可靠性、可行性、安全性比较高的，进度计划安排比较科学合理，可行性较强的，系统开发内容能满足需求的，得3分；</w:t>
            </w:r>
          </w:p>
          <w:p>
            <w:pPr>
              <w:spacing w:line="360" w:lineRule="auto"/>
              <w:rPr>
                <w:rFonts w:hAnsi="宋体"/>
                <w:color w:val="auto"/>
                <w:sz w:val="21"/>
                <w:szCs w:val="21"/>
                <w:highlight w:val="none"/>
              </w:rPr>
            </w:pPr>
            <w:r>
              <w:rPr>
                <w:rFonts w:hint="eastAsia" w:hAnsi="宋体"/>
                <w:color w:val="auto"/>
                <w:sz w:val="21"/>
                <w:szCs w:val="21"/>
                <w:highlight w:val="none"/>
              </w:rPr>
              <w:t>③针对本项目特征制定的实施方案的可靠性、可行性、安全性较差的，进度计划安排比较简单，可行性较差的，系统开发内容不能完全满足需求的，得1分；</w:t>
            </w:r>
          </w:p>
          <w:p>
            <w:pPr>
              <w:spacing w:line="360" w:lineRule="auto"/>
              <w:rPr>
                <w:rFonts w:hAnsi="宋体"/>
                <w:color w:val="auto"/>
                <w:sz w:val="21"/>
                <w:szCs w:val="21"/>
                <w:highlight w:val="none"/>
                <w:lang w:val="zh-CN"/>
              </w:rPr>
            </w:pPr>
            <w:r>
              <w:rPr>
                <w:rFonts w:hint="eastAsia" w:hAnsi="宋体"/>
                <w:color w:val="auto"/>
                <w:sz w:val="21"/>
                <w:szCs w:val="21"/>
                <w:highlight w:val="none"/>
              </w:rPr>
              <w:t>④未提供对应方案的不得分。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进度保证措施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8分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 xml:space="preserve"> 对供应商实施组织进度保障措施的科学合理、可行性，主要项目方案、供货安装进度安排、安全保证措施及其承诺等进行综合评价：</w:t>
            </w:r>
          </w:p>
          <w:p>
            <w:pPr>
              <w:spacing w:line="360" w:lineRule="auto"/>
              <w:rPr>
                <w:rFonts w:hAnsi="宋体"/>
                <w:color w:val="auto"/>
                <w:sz w:val="21"/>
                <w:szCs w:val="21"/>
                <w:highlight w:val="none"/>
              </w:rPr>
            </w:pPr>
            <w:r>
              <w:rPr>
                <w:rFonts w:hint="eastAsia" w:hAnsi="宋体"/>
                <w:color w:val="auto"/>
                <w:sz w:val="21"/>
                <w:szCs w:val="21"/>
                <w:highlight w:val="none"/>
              </w:rPr>
              <w:t>①进度保障措施完整合理、可行性强，完全满足并优于招标文件要求，得8分；</w:t>
            </w:r>
          </w:p>
          <w:p>
            <w:pPr>
              <w:spacing w:line="360" w:lineRule="auto"/>
              <w:rPr>
                <w:rFonts w:hAnsi="宋体"/>
                <w:color w:val="auto"/>
                <w:sz w:val="21"/>
                <w:szCs w:val="21"/>
                <w:highlight w:val="none"/>
              </w:rPr>
            </w:pPr>
            <w:r>
              <w:rPr>
                <w:rFonts w:hint="eastAsia" w:hAnsi="宋体"/>
                <w:color w:val="auto"/>
                <w:sz w:val="21"/>
                <w:szCs w:val="21"/>
                <w:highlight w:val="none"/>
              </w:rPr>
              <w:t>②进度保障措施较完整、可行性一般，得4分。</w:t>
            </w:r>
          </w:p>
          <w:p>
            <w:pPr>
              <w:spacing w:line="360" w:lineRule="auto"/>
              <w:rPr>
                <w:rFonts w:hAnsi="宋体"/>
                <w:color w:val="auto"/>
                <w:sz w:val="21"/>
                <w:szCs w:val="21"/>
                <w:highlight w:val="none"/>
              </w:rPr>
            </w:pPr>
            <w:r>
              <w:rPr>
                <w:rFonts w:hint="eastAsia" w:hAnsi="宋体"/>
                <w:color w:val="auto"/>
                <w:sz w:val="21"/>
                <w:szCs w:val="21"/>
                <w:highlight w:val="none"/>
              </w:rPr>
              <w:t>②进度保障措施不完整、可行性差，得1分。</w:t>
            </w:r>
          </w:p>
          <w:p>
            <w:pPr>
              <w:spacing w:line="360" w:lineRule="auto"/>
              <w:rPr>
                <w:rFonts w:hAnsi="宋体"/>
                <w:color w:val="auto"/>
                <w:sz w:val="21"/>
                <w:szCs w:val="21"/>
                <w:highlight w:val="none"/>
              </w:rPr>
            </w:pPr>
            <w:r>
              <w:rPr>
                <w:rFonts w:hint="eastAsia" w:hAnsi="宋体"/>
                <w:color w:val="auto"/>
                <w:sz w:val="21"/>
                <w:szCs w:val="21"/>
                <w:highlight w:val="none"/>
              </w:rPr>
              <w:t>③无提供对应内容不得分。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lang w:val="zh-CN"/>
              </w:rPr>
            </w:pPr>
            <w:r>
              <w:rPr>
                <w:rFonts w:hint="eastAsia" w:hAnsi="宋体"/>
                <w:color w:val="auto"/>
                <w:sz w:val="21"/>
                <w:szCs w:val="21"/>
                <w:highlight w:val="none"/>
              </w:rPr>
              <w:t>货物质量可靠性</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168"/>
              <w:keepNext w:val="0"/>
              <w:tabs>
                <w:tab w:val="left" w:pos="585"/>
                <w:tab w:val="left" w:pos="680"/>
              </w:tabs>
              <w:spacing w:after="48" w:line="360" w:lineRule="auto"/>
              <w:jc w:val="center"/>
              <w:rPr>
                <w:rFonts w:ascii="宋体" w:hAnsi="宋体"/>
                <w:color w:val="auto"/>
                <w:szCs w:val="21"/>
                <w:highlight w:val="none"/>
              </w:rPr>
            </w:pPr>
            <w:r>
              <w:rPr>
                <w:rFonts w:hint="eastAsia" w:ascii="宋体" w:hAnsi="宋体"/>
                <w:color w:val="auto"/>
                <w:szCs w:val="21"/>
                <w:highlight w:val="none"/>
              </w:rPr>
              <w:t>8分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根据货物质量可靠性等情况进行综合评价：</w:t>
            </w:r>
          </w:p>
          <w:p>
            <w:pPr>
              <w:spacing w:line="360" w:lineRule="auto"/>
              <w:rPr>
                <w:rFonts w:hAnsi="宋体"/>
                <w:color w:val="auto"/>
                <w:sz w:val="21"/>
                <w:szCs w:val="21"/>
                <w:highlight w:val="none"/>
              </w:rPr>
            </w:pPr>
            <w:r>
              <w:rPr>
                <w:rFonts w:hint="eastAsia" w:hAnsi="宋体"/>
                <w:color w:val="auto"/>
                <w:sz w:val="21"/>
                <w:szCs w:val="21"/>
                <w:highlight w:val="none"/>
              </w:rPr>
              <w:t>①投标货物的质量可靠性高，货物制造技术、制造设备、生产工艺达到行业内高水平，使用材料与部件等方面行业高质量，得8分；</w:t>
            </w:r>
          </w:p>
          <w:p>
            <w:pPr>
              <w:spacing w:line="360" w:lineRule="auto"/>
              <w:rPr>
                <w:rFonts w:hAnsi="宋体"/>
                <w:color w:val="auto"/>
                <w:sz w:val="21"/>
                <w:szCs w:val="21"/>
                <w:highlight w:val="none"/>
              </w:rPr>
            </w:pPr>
            <w:r>
              <w:rPr>
                <w:rFonts w:hint="eastAsia" w:hAnsi="宋体"/>
                <w:color w:val="auto"/>
                <w:sz w:val="21"/>
                <w:szCs w:val="21"/>
                <w:highlight w:val="none"/>
              </w:rPr>
              <w:t>②投标货物的质量可靠性较高，货物制造技术、制造设备、生产工艺达到行业内较高水平，使用材料与部件等方面行业较高质量，得4分；</w:t>
            </w:r>
          </w:p>
          <w:p>
            <w:pPr>
              <w:spacing w:line="360" w:lineRule="auto"/>
              <w:rPr>
                <w:rFonts w:hAnsi="宋体"/>
                <w:color w:val="auto"/>
                <w:sz w:val="21"/>
                <w:szCs w:val="21"/>
                <w:highlight w:val="none"/>
              </w:rPr>
            </w:pPr>
            <w:r>
              <w:rPr>
                <w:rFonts w:hint="eastAsia" w:hAnsi="宋体"/>
                <w:color w:val="auto"/>
                <w:sz w:val="21"/>
                <w:szCs w:val="21"/>
                <w:highlight w:val="none"/>
              </w:rPr>
              <w:t>③投标货物的质量可靠性一般，货物制造技术、制造设备、生产工艺一般，使用材料与部件等方面质量一般，得1分；</w:t>
            </w:r>
          </w:p>
          <w:p>
            <w:pPr>
              <w:spacing w:before="32" w:beforeLines="10" w:after="30" w:line="360" w:lineRule="auto"/>
              <w:rPr>
                <w:rFonts w:hAnsi="宋体"/>
                <w:color w:val="auto"/>
                <w:sz w:val="21"/>
                <w:szCs w:val="21"/>
                <w:highlight w:val="none"/>
                <w:lang w:val="zh-CN"/>
              </w:rPr>
            </w:pPr>
            <w:r>
              <w:rPr>
                <w:rFonts w:hint="eastAsia" w:hAnsi="宋体"/>
                <w:color w:val="auto"/>
                <w:sz w:val="21"/>
                <w:szCs w:val="21"/>
                <w:highlight w:val="none"/>
              </w:rPr>
              <w:t>④未提供项目方案的不得分。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4</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Cs/>
                <w:color w:val="auto"/>
                <w:sz w:val="21"/>
                <w:szCs w:val="21"/>
                <w:highlight w:val="none"/>
              </w:rPr>
            </w:pPr>
            <w:r>
              <w:rPr>
                <w:rFonts w:hint="eastAsia" w:hAnsi="宋体"/>
                <w:color w:val="auto"/>
                <w:sz w:val="21"/>
                <w:szCs w:val="21"/>
                <w:highlight w:val="none"/>
                <w:lang w:bidi="ar"/>
              </w:rPr>
              <w:t>质量保证措施方案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zh-CN"/>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根据供应商提供质量保证措施方案（包括但不限于质量目标、项目质量的控制、质量保证措施等）进行评审：</w:t>
            </w:r>
          </w:p>
          <w:p>
            <w:pPr>
              <w:spacing w:line="360" w:lineRule="auto"/>
              <w:rPr>
                <w:rFonts w:hAnsi="宋体"/>
                <w:color w:val="auto"/>
                <w:spacing w:val="-2"/>
                <w:sz w:val="21"/>
                <w:szCs w:val="21"/>
                <w:highlight w:val="none"/>
              </w:rPr>
            </w:pPr>
            <w:r>
              <w:rPr>
                <w:rFonts w:hint="eastAsia" w:hAnsi="宋体"/>
                <w:color w:val="auto"/>
                <w:spacing w:val="-2"/>
                <w:sz w:val="21"/>
                <w:szCs w:val="21"/>
                <w:highlight w:val="none"/>
              </w:rPr>
              <w:t>①质量目标非常明确、对项目质量的控制非常详细、检验手段非常科学，</w:t>
            </w:r>
            <w:r>
              <w:rPr>
                <w:rFonts w:hint="eastAsia" w:hAnsi="宋体"/>
                <w:color w:val="auto"/>
                <w:sz w:val="21"/>
                <w:szCs w:val="21"/>
                <w:highlight w:val="none"/>
              </w:rPr>
              <w:t>质量保证措施非常具体，可行的，</w:t>
            </w:r>
            <w:r>
              <w:rPr>
                <w:rFonts w:hint="eastAsia" w:hAnsi="宋体"/>
                <w:color w:val="auto"/>
                <w:spacing w:val="-2"/>
                <w:sz w:val="21"/>
                <w:szCs w:val="21"/>
                <w:highlight w:val="none"/>
              </w:rPr>
              <w:t>得5分；</w:t>
            </w:r>
          </w:p>
          <w:p>
            <w:pPr>
              <w:spacing w:line="360" w:lineRule="auto"/>
              <w:rPr>
                <w:rFonts w:hAnsi="宋体"/>
                <w:color w:val="auto"/>
                <w:sz w:val="21"/>
                <w:szCs w:val="21"/>
                <w:highlight w:val="none"/>
              </w:rPr>
            </w:pPr>
            <w:r>
              <w:rPr>
                <w:rFonts w:hint="eastAsia" w:hAnsi="宋体"/>
                <w:color w:val="auto"/>
                <w:sz w:val="21"/>
                <w:szCs w:val="21"/>
                <w:highlight w:val="none"/>
              </w:rPr>
              <w:t>②质量目标比较明确、对项目质量的控制较为详细、检验手段比较科学，质量保证措施比较具体，可行的，得3分；</w:t>
            </w:r>
          </w:p>
          <w:p>
            <w:pPr>
              <w:spacing w:line="360" w:lineRule="auto"/>
              <w:rPr>
                <w:rFonts w:hAnsi="宋体"/>
                <w:color w:val="auto"/>
                <w:sz w:val="21"/>
                <w:szCs w:val="21"/>
                <w:highlight w:val="none"/>
              </w:rPr>
            </w:pPr>
            <w:r>
              <w:rPr>
                <w:rFonts w:hint="eastAsia" w:hAnsi="宋体"/>
                <w:color w:val="auto"/>
                <w:sz w:val="21"/>
                <w:szCs w:val="21"/>
                <w:highlight w:val="none"/>
              </w:rPr>
              <w:t>③质量目标基本明确、对项目质量的控制详细程度一般、检验手段科学性较差，质量保证措施不够具体，可行性较差的，得1分；</w:t>
            </w:r>
          </w:p>
          <w:p>
            <w:pPr>
              <w:spacing w:line="360" w:lineRule="auto"/>
              <w:rPr>
                <w:rFonts w:hAnsi="宋体"/>
                <w:color w:val="auto"/>
                <w:sz w:val="21"/>
                <w:szCs w:val="21"/>
                <w:highlight w:val="none"/>
              </w:rPr>
            </w:pPr>
            <w:r>
              <w:rPr>
                <w:rFonts w:hint="eastAsia" w:hAnsi="宋体"/>
                <w:color w:val="auto"/>
                <w:sz w:val="21"/>
                <w:szCs w:val="21"/>
                <w:highlight w:val="none"/>
              </w:rPr>
              <w:t>④未提供对应方案的不得分。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5</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Cs/>
                <w:color w:val="auto"/>
                <w:sz w:val="21"/>
                <w:szCs w:val="21"/>
                <w:highlight w:val="none"/>
              </w:rPr>
            </w:pPr>
            <w:r>
              <w:rPr>
                <w:rFonts w:hint="eastAsia" w:hAnsi="宋体"/>
                <w:color w:val="auto"/>
                <w:sz w:val="21"/>
                <w:szCs w:val="21"/>
                <w:highlight w:val="none"/>
              </w:rPr>
              <w:t>售后服务方案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4分</w:t>
            </w:r>
          </w:p>
        </w:tc>
        <w:tc>
          <w:tcPr>
            <w:tcW w:w="5800" w:type="dxa"/>
            <w:tcBorders>
              <w:top w:val="single" w:color="auto" w:sz="4" w:space="0"/>
              <w:left w:val="single" w:color="auto" w:sz="4" w:space="0"/>
              <w:bottom w:val="single" w:color="auto" w:sz="4" w:space="0"/>
              <w:right w:val="single" w:color="auto" w:sz="4" w:space="0"/>
            </w:tcBorders>
            <w:vAlign w:val="center"/>
          </w:tcPr>
          <w:p>
            <w:pPr>
              <w:pStyle w:val="168"/>
              <w:keepNext w:val="0"/>
              <w:tabs>
                <w:tab w:val="left" w:pos="585"/>
                <w:tab w:val="left" w:pos="680"/>
              </w:tabs>
              <w:spacing w:after="0" w:line="360" w:lineRule="auto"/>
              <w:rPr>
                <w:rFonts w:ascii="宋体" w:hAnsi="宋体"/>
                <w:color w:val="auto"/>
                <w:kern w:val="0"/>
                <w:szCs w:val="21"/>
                <w:highlight w:val="none"/>
              </w:rPr>
            </w:pPr>
            <w:r>
              <w:rPr>
                <w:rFonts w:hint="eastAsia" w:ascii="宋体" w:hAnsi="宋体"/>
                <w:color w:val="auto"/>
                <w:szCs w:val="21"/>
                <w:highlight w:val="none"/>
              </w:rPr>
              <w:t>根据供应商提供的售后服务方案（包括不限于</w:t>
            </w:r>
            <w:r>
              <w:rPr>
                <w:rFonts w:hint="eastAsia" w:ascii="宋体" w:hAnsi="宋体"/>
                <w:bCs/>
                <w:color w:val="auto"/>
                <w:szCs w:val="21"/>
                <w:highlight w:val="none"/>
              </w:rPr>
              <w:t>质保期、应急维修时间安排、质保期外的维修服务收费标准、售后服务人员配置安排</w:t>
            </w:r>
            <w:r>
              <w:rPr>
                <w:rFonts w:hint="eastAsia" w:ascii="宋体" w:hAnsi="宋体"/>
                <w:color w:val="auto"/>
                <w:szCs w:val="21"/>
                <w:highlight w:val="none"/>
              </w:rPr>
              <w:t>）进行评审：</w:t>
            </w:r>
          </w:p>
          <w:p>
            <w:pPr>
              <w:pStyle w:val="168"/>
              <w:keepNext w:val="0"/>
              <w:tabs>
                <w:tab w:val="left" w:pos="585"/>
                <w:tab w:val="left" w:pos="680"/>
              </w:tabs>
              <w:spacing w:after="0" w:line="360" w:lineRule="auto"/>
              <w:rPr>
                <w:rFonts w:ascii="宋体" w:hAnsi="宋体"/>
                <w:color w:val="auto"/>
                <w:szCs w:val="21"/>
                <w:highlight w:val="none"/>
              </w:rPr>
            </w:pPr>
            <w:r>
              <w:rPr>
                <w:rFonts w:hint="eastAsia" w:ascii="宋体" w:hAnsi="宋体"/>
                <w:color w:val="auto"/>
                <w:szCs w:val="21"/>
                <w:highlight w:val="none"/>
              </w:rPr>
              <w:t>①</w:t>
            </w:r>
            <w:r>
              <w:rPr>
                <w:rFonts w:hint="eastAsia" w:ascii="宋体" w:hAnsi="宋体"/>
                <w:bCs/>
                <w:color w:val="auto"/>
                <w:szCs w:val="21"/>
                <w:highlight w:val="none"/>
              </w:rPr>
              <w:t>质保期完全</w:t>
            </w:r>
            <w:r>
              <w:rPr>
                <w:rFonts w:hint="eastAsia" w:ascii="宋体" w:hAnsi="宋体"/>
                <w:color w:val="auto"/>
                <w:szCs w:val="21"/>
                <w:highlight w:val="none"/>
              </w:rPr>
              <w:t>满足或承诺优于采购需求，售后方案非常具体详细，应急维修响应非常迅速，</w:t>
            </w:r>
            <w:r>
              <w:rPr>
                <w:rFonts w:hint="eastAsia" w:ascii="宋体" w:hAnsi="宋体"/>
                <w:bCs/>
                <w:color w:val="auto"/>
                <w:szCs w:val="21"/>
                <w:highlight w:val="none"/>
              </w:rPr>
              <w:t>质保期外的维修服务收费标准非常明确，服务人员配置安排非常合理、可行的，得4分；</w:t>
            </w:r>
          </w:p>
          <w:p>
            <w:pPr>
              <w:pStyle w:val="168"/>
              <w:keepNext w:val="0"/>
              <w:tabs>
                <w:tab w:val="left" w:pos="585"/>
                <w:tab w:val="left" w:pos="680"/>
              </w:tabs>
              <w:spacing w:after="0" w:line="360" w:lineRule="auto"/>
              <w:rPr>
                <w:rFonts w:ascii="宋体" w:hAnsi="宋体"/>
                <w:color w:val="auto"/>
                <w:szCs w:val="21"/>
                <w:highlight w:val="none"/>
              </w:rPr>
            </w:pPr>
            <w:r>
              <w:rPr>
                <w:rFonts w:hint="eastAsia" w:ascii="宋体" w:hAnsi="宋体"/>
                <w:color w:val="auto"/>
                <w:szCs w:val="21"/>
                <w:highlight w:val="none"/>
              </w:rPr>
              <w:t>②</w:t>
            </w:r>
            <w:r>
              <w:rPr>
                <w:rFonts w:hint="eastAsia" w:ascii="宋体" w:hAnsi="宋体"/>
                <w:bCs/>
                <w:color w:val="auto"/>
                <w:szCs w:val="21"/>
                <w:highlight w:val="none"/>
              </w:rPr>
              <w:t>质保期</w:t>
            </w:r>
            <w:r>
              <w:rPr>
                <w:rFonts w:hint="eastAsia" w:ascii="宋体" w:hAnsi="宋体"/>
                <w:color w:val="auto"/>
                <w:szCs w:val="21"/>
                <w:highlight w:val="none"/>
              </w:rPr>
              <w:t>满足采购需求，售后方案比较具体详细，应急维修响应迅速，</w:t>
            </w:r>
            <w:r>
              <w:rPr>
                <w:rFonts w:hint="eastAsia" w:ascii="宋体" w:hAnsi="宋体"/>
                <w:bCs/>
                <w:color w:val="auto"/>
                <w:szCs w:val="21"/>
                <w:highlight w:val="none"/>
              </w:rPr>
              <w:t>质保期外的维修服务收费标准比较明确，服务人员配置安排比较合理、可行的，得2分；</w:t>
            </w:r>
          </w:p>
          <w:p>
            <w:pPr>
              <w:pStyle w:val="75"/>
              <w:spacing w:line="360" w:lineRule="auto"/>
              <w:ind w:firstLine="0" w:firstLineChars="0"/>
              <w:jc w:val="left"/>
              <w:rPr>
                <w:rFonts w:ascii="宋体" w:eastAsia="宋体"/>
                <w:color w:val="auto"/>
                <w:sz w:val="21"/>
                <w:szCs w:val="21"/>
                <w:highlight w:val="none"/>
                <w:lang w:val="zh-CN"/>
              </w:rPr>
            </w:pPr>
            <w:r>
              <w:rPr>
                <w:rFonts w:hint="eastAsia" w:ascii="宋体" w:eastAsia="宋体"/>
                <w:color w:val="auto"/>
                <w:sz w:val="21"/>
                <w:szCs w:val="21"/>
                <w:highlight w:val="none"/>
                <w:lang w:val="zh-CN"/>
              </w:rPr>
              <w:t>③</w:t>
            </w:r>
            <w:r>
              <w:rPr>
                <w:rFonts w:hint="eastAsia" w:ascii="宋体" w:eastAsia="宋体"/>
                <w:bCs/>
                <w:color w:val="auto"/>
                <w:sz w:val="21"/>
                <w:szCs w:val="21"/>
                <w:highlight w:val="none"/>
              </w:rPr>
              <w:t>质保期</w:t>
            </w:r>
            <w:r>
              <w:rPr>
                <w:rFonts w:hint="eastAsia" w:ascii="宋体" w:eastAsia="宋体"/>
                <w:color w:val="auto"/>
                <w:sz w:val="21"/>
                <w:szCs w:val="21"/>
                <w:highlight w:val="none"/>
              </w:rPr>
              <w:t>满足采购需求，但售后方案简略，应急维修响应速度不明确，</w:t>
            </w:r>
            <w:r>
              <w:rPr>
                <w:rFonts w:hint="eastAsia" w:ascii="宋体" w:eastAsia="宋体"/>
                <w:bCs/>
                <w:color w:val="auto"/>
                <w:sz w:val="21"/>
                <w:szCs w:val="21"/>
                <w:highlight w:val="none"/>
              </w:rPr>
              <w:t>服务人员配置安排可行性较低的，得1分</w:t>
            </w:r>
            <w:r>
              <w:rPr>
                <w:rFonts w:hint="eastAsia" w:ascii="宋体" w:eastAsia="宋体"/>
                <w:color w:val="auto"/>
                <w:sz w:val="21"/>
                <w:szCs w:val="21"/>
                <w:highlight w:val="none"/>
              </w:rPr>
              <w:t>；</w:t>
            </w:r>
          </w:p>
          <w:p>
            <w:pPr>
              <w:pStyle w:val="75"/>
              <w:spacing w:line="360" w:lineRule="auto"/>
              <w:ind w:firstLine="0" w:firstLineChars="0"/>
              <w:jc w:val="left"/>
              <w:rPr>
                <w:rFonts w:ascii="宋体" w:eastAsia="宋体"/>
                <w:bCs/>
                <w:color w:val="auto"/>
                <w:sz w:val="21"/>
                <w:szCs w:val="21"/>
                <w:highlight w:val="none"/>
              </w:rPr>
            </w:pPr>
            <w:r>
              <w:rPr>
                <w:rFonts w:hint="eastAsia" w:ascii="宋体" w:eastAsia="宋体"/>
                <w:color w:val="auto"/>
                <w:sz w:val="21"/>
                <w:szCs w:val="21"/>
                <w:highlight w:val="none"/>
              </w:rPr>
              <w:t>④未提供对应方案的不得分。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6</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样品质量</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4分</w:t>
            </w:r>
          </w:p>
        </w:tc>
        <w:tc>
          <w:tcPr>
            <w:tcW w:w="58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根据供应商提供用户需求书货物清单中的智能门锁各选任意一样作为样品进行综合评定。</w:t>
            </w:r>
          </w:p>
          <w:p>
            <w:pPr>
              <w:autoSpaceDE/>
              <w:autoSpaceDN/>
              <w:adjustRightInd/>
              <w:spacing w:line="360" w:lineRule="auto"/>
              <w:ind w:firstLine="420" w:firstLineChars="200"/>
              <w:rPr>
                <w:rFonts w:hAnsi="宋体"/>
                <w:color w:val="auto"/>
                <w:sz w:val="21"/>
                <w:szCs w:val="21"/>
                <w:highlight w:val="none"/>
              </w:rPr>
            </w:pPr>
            <w:r>
              <w:rPr>
                <w:rFonts w:hint="eastAsia" w:hAnsi="宋体"/>
                <w:color w:val="auto"/>
                <w:sz w:val="21"/>
                <w:szCs w:val="21"/>
                <w:highlight w:val="none"/>
              </w:rPr>
              <w:t>优：送交样品对应功能、材质完全满足招标文件要求，样式美观、功能完全满足或优于招标文件、材质优良、耐用及整体感观好的，得4分；</w:t>
            </w:r>
          </w:p>
          <w:p>
            <w:pPr>
              <w:autoSpaceDE/>
              <w:autoSpaceDN/>
              <w:adjustRightInd/>
              <w:spacing w:line="360" w:lineRule="auto"/>
              <w:ind w:firstLine="420" w:firstLineChars="200"/>
              <w:rPr>
                <w:rFonts w:hAnsi="宋体"/>
                <w:color w:val="auto"/>
                <w:sz w:val="21"/>
                <w:szCs w:val="21"/>
                <w:highlight w:val="none"/>
              </w:rPr>
            </w:pPr>
            <w:r>
              <w:rPr>
                <w:rFonts w:hint="eastAsia" w:hAnsi="宋体"/>
                <w:color w:val="auto"/>
                <w:sz w:val="21"/>
                <w:szCs w:val="21"/>
                <w:highlight w:val="none"/>
              </w:rPr>
              <w:t>中：送交样品对应功能、材质基本质满足招标文件要求，样式一般、功能基本满足招标文件、材质一般、耐用及整体感观一般的，得2分；</w:t>
            </w:r>
          </w:p>
          <w:p>
            <w:pPr>
              <w:autoSpaceDE/>
              <w:autoSpaceDN/>
              <w:adjustRightInd/>
              <w:spacing w:line="360" w:lineRule="auto"/>
              <w:ind w:firstLine="420" w:firstLineChars="200"/>
              <w:rPr>
                <w:rFonts w:hAnsi="宋体"/>
                <w:color w:val="auto"/>
                <w:sz w:val="21"/>
                <w:szCs w:val="21"/>
                <w:highlight w:val="none"/>
              </w:rPr>
            </w:pPr>
            <w:r>
              <w:rPr>
                <w:rFonts w:hint="eastAsia" w:hAnsi="宋体"/>
                <w:color w:val="auto"/>
                <w:sz w:val="21"/>
                <w:szCs w:val="21"/>
                <w:highlight w:val="none"/>
              </w:rPr>
              <w:t>差：提供样品及对应功能、材质未按招标文件要求者得1分；</w:t>
            </w:r>
          </w:p>
          <w:p>
            <w:pPr>
              <w:autoSpaceDE/>
              <w:autoSpaceDN/>
              <w:adjustRightInd/>
              <w:spacing w:line="360" w:lineRule="auto"/>
              <w:ind w:firstLine="420" w:firstLineChars="200"/>
              <w:rPr>
                <w:color w:val="auto"/>
                <w:sz w:val="21"/>
                <w:szCs w:val="21"/>
                <w:highlight w:val="none"/>
              </w:rPr>
            </w:pPr>
            <w:r>
              <w:rPr>
                <w:rFonts w:hint="eastAsia" w:hAnsi="宋体"/>
                <w:color w:val="auto"/>
                <w:sz w:val="21"/>
                <w:szCs w:val="21"/>
                <w:highlight w:val="none"/>
              </w:rPr>
              <w:t>未提供样品的，得0分。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outlineLvl w:val="0"/>
        <w:rPr>
          <w:rFonts w:hAnsi="宋体"/>
          <w:b/>
          <w:color w:val="auto"/>
          <w:szCs w:val="21"/>
          <w:highlight w:val="none"/>
        </w:rPr>
      </w:pPr>
      <w:bookmarkStart w:id="174" w:name="_Toc15603"/>
      <w:r>
        <w:rPr>
          <w:rFonts w:hint="eastAsia" w:hAnsi="宋体"/>
          <w:b/>
          <w:color w:val="auto"/>
          <w:szCs w:val="21"/>
          <w:highlight w:val="none"/>
        </w:rPr>
        <w:t>四、技术评审</w:t>
      </w:r>
      <w:bookmarkEnd w:id="174"/>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outlineLvl w:val="0"/>
        <w:rPr>
          <w:rFonts w:hAnsi="宋体"/>
          <w:b/>
          <w:color w:val="auto"/>
          <w:szCs w:val="21"/>
          <w:highlight w:val="none"/>
        </w:rPr>
      </w:pPr>
      <w:bookmarkStart w:id="175" w:name="_Toc4394"/>
      <w:r>
        <w:rPr>
          <w:rFonts w:hint="eastAsia" w:hAnsi="宋体"/>
          <w:b/>
          <w:color w:val="auto"/>
          <w:szCs w:val="21"/>
          <w:highlight w:val="none"/>
        </w:rPr>
        <w:t>五、商务评审</w:t>
      </w:r>
      <w:bookmarkEnd w:id="175"/>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outlineLvl w:val="0"/>
        <w:rPr>
          <w:rFonts w:hAnsi="宋体"/>
          <w:b/>
          <w:color w:val="auto"/>
          <w:szCs w:val="21"/>
          <w:highlight w:val="none"/>
        </w:rPr>
      </w:pPr>
      <w:bookmarkStart w:id="176" w:name="_Toc19007"/>
      <w:r>
        <w:rPr>
          <w:rFonts w:hint="eastAsia" w:hAnsi="宋体"/>
          <w:b/>
          <w:color w:val="auto"/>
          <w:szCs w:val="21"/>
          <w:highlight w:val="none"/>
        </w:rPr>
        <w:t>六、报价评审</w:t>
      </w:r>
      <w:bookmarkEnd w:id="176"/>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line="360" w:lineRule="auto"/>
        <w:ind w:left="16" w:firstLine="422" w:firstLineChars="200"/>
        <w:rPr>
          <w:rFonts w:hAnsi="宋体"/>
          <w:b/>
          <w:color w:val="auto"/>
          <w:szCs w:val="21"/>
          <w:highlight w:val="none"/>
        </w:rPr>
      </w:pPr>
    </w:p>
    <w:p>
      <w:pPr>
        <w:pStyle w:val="29"/>
        <w:tabs>
          <w:tab w:val="left" w:pos="1365"/>
        </w:tabs>
        <w:spacing w:line="360" w:lineRule="auto"/>
        <w:ind w:left="16" w:firstLine="422" w:firstLineChars="200"/>
        <w:outlineLvl w:val="0"/>
        <w:rPr>
          <w:rFonts w:hAnsi="宋体"/>
          <w:b/>
          <w:color w:val="auto"/>
          <w:szCs w:val="21"/>
          <w:highlight w:val="none"/>
        </w:rPr>
      </w:pPr>
      <w:bookmarkStart w:id="177" w:name="_Toc3331"/>
      <w:r>
        <w:rPr>
          <w:rFonts w:hint="eastAsia" w:hAnsi="宋体"/>
          <w:b/>
          <w:color w:val="auto"/>
          <w:szCs w:val="21"/>
          <w:highlight w:val="none"/>
        </w:rPr>
        <w:t>七、综合得分的计算</w:t>
      </w:r>
      <w:bookmarkEnd w:id="17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5"/>
        <w:keepNext/>
        <w:keepLines/>
        <w:pageBreakBefore/>
        <w:numPr>
          <w:ilvl w:val="0"/>
          <w:numId w:val="14"/>
        </w:numPr>
        <w:spacing w:line="360" w:lineRule="auto"/>
        <w:jc w:val="center"/>
        <w:rPr>
          <w:rFonts w:hAnsi="宋体"/>
          <w:b/>
          <w:bCs/>
          <w:color w:val="auto"/>
          <w:highlight w:val="none"/>
        </w:rPr>
      </w:pPr>
      <w:bookmarkStart w:id="178" w:name="_Toc3360"/>
      <w:bookmarkStart w:id="179" w:name="_Toc15636"/>
      <w:r>
        <w:rPr>
          <w:rFonts w:hint="eastAsia" w:hAnsi="宋体"/>
          <w:b/>
          <w:bCs/>
          <w:color w:val="auto"/>
          <w:kern w:val="44"/>
          <w:sz w:val="28"/>
          <w:szCs w:val="28"/>
          <w:highlight w:val="none"/>
          <w:lang w:val="zh-CN"/>
        </w:rPr>
        <w:t>合同条款格式</w:t>
      </w:r>
      <w:bookmarkEnd w:id="178"/>
      <w:bookmarkEnd w:id="179"/>
    </w:p>
    <w:p>
      <w:pPr>
        <w:jc w:val="center"/>
        <w:rPr>
          <w:rFonts w:hAnsi="宋体"/>
          <w:b/>
          <w:color w:val="auto"/>
          <w:sz w:val="52"/>
          <w:szCs w:val="52"/>
          <w:highlight w:val="none"/>
        </w:rPr>
      </w:pPr>
      <w:r>
        <w:rPr>
          <w:rFonts w:hint="eastAsia" w:hAnsi="宋体"/>
          <w:b/>
          <w:color w:val="auto"/>
          <w:sz w:val="52"/>
          <w:szCs w:val="52"/>
          <w:highlight w:val="none"/>
        </w:rPr>
        <w:t>合  同  书</w:t>
      </w:r>
    </w:p>
    <w:p>
      <w:pPr>
        <w:jc w:val="center"/>
        <w:rPr>
          <w:rFonts w:hAnsi="宋体"/>
          <w:b/>
          <w:color w:val="auto"/>
          <w:sz w:val="52"/>
          <w:szCs w:val="52"/>
          <w:highlight w:val="none"/>
        </w:rPr>
      </w:pPr>
    </w:p>
    <w:p>
      <w:pPr>
        <w:jc w:val="center"/>
        <w:rPr>
          <w:rFonts w:hAnsi="宋体"/>
          <w:color w:val="auto"/>
          <w:highlight w:val="none"/>
        </w:rPr>
      </w:pPr>
    </w:p>
    <w:p>
      <w:pPr>
        <w:jc w:val="center"/>
        <w:rPr>
          <w:rFonts w:ascii="黑体" w:hAnsi="宋体" w:eastAsia="黑体"/>
          <w:b/>
          <w:color w:val="auto"/>
          <w:sz w:val="48"/>
          <w:highlight w:val="none"/>
        </w:rPr>
      </w:pPr>
    </w:p>
    <w:p>
      <w:pPr>
        <w:jc w:val="center"/>
        <w:rPr>
          <w:rFonts w:hAnsi="宋体"/>
          <w:color w:val="auto"/>
          <w:sz w:val="48"/>
          <w:highlight w:val="none"/>
        </w:rPr>
      </w:pPr>
      <w:r>
        <w:rPr>
          <w:rFonts w:hint="eastAsia" w:hAnsi="宋体"/>
          <w:color w:val="auto"/>
          <w:sz w:val="48"/>
          <w:highlight w:val="none"/>
        </w:rPr>
        <w:t xml:space="preserve">  </w:t>
      </w:r>
    </w:p>
    <w:p>
      <w:pPr>
        <w:jc w:val="center"/>
        <w:rPr>
          <w:rFonts w:hAnsi="宋体"/>
          <w:color w:val="auto"/>
          <w:sz w:val="48"/>
          <w:highlight w:val="none"/>
        </w:rPr>
      </w:pPr>
    </w:p>
    <w:p>
      <w:pPr>
        <w:jc w:val="center"/>
        <w:rPr>
          <w:rFonts w:hAnsi="宋体"/>
          <w:color w:val="auto"/>
          <w:sz w:val="48"/>
          <w:highlight w:val="none"/>
        </w:rPr>
      </w:pPr>
    </w:p>
    <w:p>
      <w:pPr>
        <w:jc w:val="center"/>
        <w:rPr>
          <w:rFonts w:hAnsi="宋体"/>
          <w:color w:val="auto"/>
          <w:sz w:val="48"/>
          <w:highlight w:val="none"/>
        </w:rPr>
      </w:pPr>
    </w:p>
    <w:p>
      <w:pPr>
        <w:jc w:val="center"/>
        <w:rPr>
          <w:rFonts w:hAnsi="宋体"/>
          <w:color w:val="auto"/>
          <w:sz w:val="44"/>
          <w:szCs w:val="21"/>
          <w:highlight w:val="none"/>
        </w:rPr>
      </w:pPr>
    </w:p>
    <w:p>
      <w:pPr>
        <w:spacing w:line="360" w:lineRule="auto"/>
        <w:ind w:firstLine="1680" w:firstLineChars="525"/>
        <w:rPr>
          <w:rFonts w:hAnsi="宋体"/>
          <w:color w:val="auto"/>
          <w:sz w:val="32"/>
          <w:highlight w:val="none"/>
          <w:u w:val="single"/>
        </w:rPr>
      </w:pPr>
      <w:r>
        <w:rPr>
          <w:rFonts w:hint="eastAsia" w:hAnsi="宋体"/>
          <w:color w:val="auto"/>
          <w:sz w:val="32"/>
          <w:highlight w:val="none"/>
        </w:rPr>
        <w:t>项目名称：</w:t>
      </w:r>
      <w:r>
        <w:rPr>
          <w:rFonts w:hAnsi="宋体"/>
          <w:color w:val="auto"/>
          <w:sz w:val="32"/>
          <w:highlight w:val="none"/>
          <w:u w:val="single"/>
        </w:rPr>
        <w:t xml:space="preserve">                   </w:t>
      </w:r>
      <w:r>
        <w:rPr>
          <w:rFonts w:hAnsi="宋体"/>
          <w:color w:val="auto"/>
          <w:highlight w:val="none"/>
          <w:u w:val="single"/>
        </w:rPr>
        <w:t xml:space="preserve">        </w:t>
      </w:r>
      <w:r>
        <w:rPr>
          <w:color w:val="auto"/>
          <w:highlight w:val="none"/>
          <w:u w:val="single"/>
        </w:rPr>
        <w:t xml:space="preserve">    </w:t>
      </w:r>
    </w:p>
    <w:p>
      <w:pPr>
        <w:spacing w:line="360" w:lineRule="auto"/>
        <w:ind w:firstLine="1478" w:firstLineChars="462"/>
        <w:rPr>
          <w:rFonts w:hAnsi="宋体"/>
          <w:color w:val="auto"/>
          <w:sz w:val="32"/>
          <w:highlight w:val="none"/>
          <w:u w:val="single"/>
        </w:rPr>
      </w:pPr>
      <w:r>
        <w:rPr>
          <w:rFonts w:hint="eastAsia" w:hAnsi="宋体"/>
          <w:color w:val="auto"/>
          <w:sz w:val="32"/>
          <w:highlight w:val="none"/>
        </w:rPr>
        <w:t xml:space="preserve"> 合同编号：</w:t>
      </w:r>
      <w:r>
        <w:rPr>
          <w:rFonts w:hAnsi="宋体"/>
          <w:color w:val="auto"/>
          <w:sz w:val="32"/>
          <w:highlight w:val="none"/>
          <w:u w:val="single"/>
        </w:rPr>
        <w:t xml:space="preserve">                       </w:t>
      </w:r>
    </w:p>
    <w:p>
      <w:pPr>
        <w:spacing w:line="360" w:lineRule="auto"/>
        <w:ind w:firstLine="1478" w:firstLineChars="462"/>
        <w:rPr>
          <w:rFonts w:hAnsi="宋体"/>
          <w:color w:val="auto"/>
          <w:sz w:val="32"/>
          <w:highlight w:val="none"/>
          <w:u w:val="single"/>
        </w:rPr>
      </w:pPr>
      <w:r>
        <w:rPr>
          <w:rFonts w:hAnsi="宋体"/>
          <w:color w:val="auto"/>
          <w:sz w:val="32"/>
          <w:highlight w:val="none"/>
        </w:rPr>
        <w:t xml:space="preserve"> </w:t>
      </w:r>
      <w:r>
        <w:rPr>
          <w:rFonts w:hint="eastAsia" w:hAnsi="宋体"/>
          <w:color w:val="auto"/>
          <w:sz w:val="32"/>
          <w:highlight w:val="none"/>
        </w:rPr>
        <w:t>签订地点：</w:t>
      </w:r>
      <w:r>
        <w:rPr>
          <w:rFonts w:hAnsi="宋体"/>
          <w:color w:val="auto"/>
          <w:sz w:val="32"/>
          <w:highlight w:val="none"/>
          <w:u w:val="single"/>
        </w:rPr>
        <w:t xml:space="preserve">              </w:t>
      </w:r>
      <w:r>
        <w:rPr>
          <w:rFonts w:hAnsi="宋体"/>
          <w:color w:val="auto"/>
          <w:highlight w:val="none"/>
          <w:u w:val="single"/>
        </w:rPr>
        <w:t xml:space="preserve">     </w:t>
      </w:r>
      <w:r>
        <w:rPr>
          <w:rFonts w:hAnsi="宋体"/>
          <w:color w:val="auto"/>
          <w:sz w:val="32"/>
          <w:highlight w:val="none"/>
          <w:u w:val="single"/>
        </w:rPr>
        <w:t xml:space="preserve">          </w:t>
      </w:r>
    </w:p>
    <w:p>
      <w:pPr>
        <w:ind w:firstLine="1478" w:firstLineChars="462"/>
        <w:jc w:val="center"/>
        <w:rPr>
          <w:rFonts w:hAnsi="宋体"/>
          <w:color w:val="auto"/>
          <w:sz w:val="32"/>
          <w:highlight w:val="none"/>
        </w:rPr>
      </w:pPr>
    </w:p>
    <w:p>
      <w:pPr>
        <w:rPr>
          <w:rFonts w:hAnsi="宋体"/>
          <w:color w:val="auto"/>
          <w:sz w:val="22"/>
          <w:highlight w:val="none"/>
        </w:rPr>
      </w:pPr>
    </w:p>
    <w:p>
      <w:pPr>
        <w:rPr>
          <w:rFonts w:hAnsi="宋体"/>
          <w:color w:val="auto"/>
          <w:sz w:val="32"/>
          <w:highlight w:val="none"/>
        </w:rPr>
      </w:pPr>
    </w:p>
    <w:p>
      <w:pPr>
        <w:tabs>
          <w:tab w:val="left" w:pos="0"/>
        </w:tabs>
        <w:spacing w:line="360" w:lineRule="auto"/>
        <w:jc w:val="center"/>
        <w:rPr>
          <w:rFonts w:hAnsi="宋体"/>
          <w:color w:val="auto"/>
          <w:sz w:val="32"/>
          <w:highlight w:val="none"/>
        </w:rPr>
      </w:pPr>
      <w:r>
        <w:rPr>
          <w:rFonts w:hint="eastAsia" w:hAnsi="宋体"/>
          <w:color w:val="auto"/>
          <w:sz w:val="32"/>
          <w:highlight w:val="none"/>
        </w:rPr>
        <w:t>二○    年</w:t>
      </w:r>
      <w:r>
        <w:rPr>
          <w:rFonts w:hAnsi="宋体"/>
          <w:color w:val="auto"/>
          <w:sz w:val="32"/>
          <w:highlight w:val="none"/>
        </w:rPr>
        <w:t xml:space="preserve">    月    日</w:t>
      </w: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spacing w:line="360" w:lineRule="auto"/>
        <w:rPr>
          <w:rFonts w:hAnsi="宋体"/>
          <w:color w:val="auto"/>
          <w:sz w:val="18"/>
          <w:szCs w:val="18"/>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 xml:space="preserve">甲方：（采购人）                     </w:t>
      </w:r>
    </w:p>
    <w:p>
      <w:pPr>
        <w:spacing w:line="360" w:lineRule="auto"/>
        <w:rPr>
          <w:rFonts w:hAnsi="宋体"/>
          <w:color w:val="auto"/>
          <w:sz w:val="21"/>
          <w:szCs w:val="21"/>
          <w:highlight w:val="none"/>
        </w:rPr>
      </w:pPr>
      <w:r>
        <w:rPr>
          <w:rFonts w:hint="eastAsia" w:hAnsi="宋体"/>
          <w:color w:val="auto"/>
          <w:sz w:val="21"/>
          <w:szCs w:val="21"/>
          <w:highlight w:val="none"/>
        </w:rPr>
        <w:t>乙方：（成交人）</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受甲方委托，</w:t>
      </w:r>
      <w:r>
        <w:rPr>
          <w:rFonts w:hint="eastAsia"/>
          <w:color w:val="auto"/>
          <w:sz w:val="21"/>
          <w:szCs w:val="21"/>
          <w:highlight w:val="none"/>
          <w:u w:val="single"/>
        </w:rPr>
        <w:t xml:space="preserve">           (采购代理机构)</w:t>
      </w:r>
      <w:r>
        <w:rPr>
          <w:rFonts w:hint="eastAsia"/>
          <w:color w:val="auto"/>
          <w:sz w:val="21"/>
          <w:szCs w:val="21"/>
          <w:highlight w:val="none"/>
        </w:rPr>
        <w:t>组织对</w:t>
      </w:r>
      <w:r>
        <w:rPr>
          <w:rFonts w:hint="eastAsia"/>
          <w:color w:val="auto"/>
          <w:sz w:val="21"/>
          <w:szCs w:val="21"/>
          <w:highlight w:val="none"/>
          <w:u w:val="single"/>
        </w:rPr>
        <w:t xml:space="preserve">         （项目名称）</w:t>
      </w:r>
      <w:r>
        <w:rPr>
          <w:rFonts w:hint="eastAsia"/>
          <w:color w:val="auto"/>
          <w:sz w:val="21"/>
          <w:szCs w:val="21"/>
          <w:highlight w:val="none"/>
        </w:rPr>
        <w:t>采购项目（采购编号为</w:t>
      </w:r>
      <w:r>
        <w:rPr>
          <w:rFonts w:hint="eastAsia"/>
          <w:color w:val="auto"/>
          <w:sz w:val="21"/>
          <w:szCs w:val="21"/>
          <w:highlight w:val="none"/>
          <w:u w:val="single"/>
        </w:rPr>
        <w:t xml:space="preserve">       </w:t>
      </w:r>
      <w:r>
        <w:rPr>
          <w:rFonts w:hint="eastAsia"/>
          <w:color w:val="auto"/>
          <w:sz w:val="21"/>
          <w:szCs w:val="21"/>
          <w:highlight w:val="none"/>
        </w:rPr>
        <w:t>）进行采购，于</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日通过公开采购，经评标委员会评定乙方</w:t>
      </w:r>
      <w:r>
        <w:rPr>
          <w:rFonts w:hint="eastAsia"/>
          <w:color w:val="auto"/>
          <w:sz w:val="21"/>
          <w:szCs w:val="21"/>
          <w:highlight w:val="none"/>
          <w:u w:val="single"/>
        </w:rPr>
        <w:t xml:space="preserve">      </w:t>
      </w:r>
      <w:r>
        <w:rPr>
          <w:rFonts w:hint="eastAsia"/>
          <w:color w:val="auto"/>
          <w:sz w:val="21"/>
          <w:szCs w:val="21"/>
          <w:highlight w:val="none"/>
        </w:rPr>
        <w:t>为成交人。为了保护甲乙双方合法权益，根据《中华人民共和国民法典》等有关法律法规的规定，在平等自愿的基础上，甲乙双方按照下面的条款和条件，签署本合同。</w:t>
      </w:r>
    </w:p>
    <w:p>
      <w:pPr>
        <w:pStyle w:val="5"/>
        <w:bidi w:val="0"/>
        <w:rPr>
          <w:rFonts w:hint="eastAsia"/>
          <w:b/>
          <w:bCs/>
          <w:color w:val="auto"/>
          <w:highlight w:val="none"/>
        </w:rPr>
      </w:pPr>
      <w:r>
        <w:rPr>
          <w:rFonts w:hint="eastAsia"/>
          <w:b/>
          <w:bCs/>
          <w:color w:val="auto"/>
          <w:highlight w:val="none"/>
        </w:rPr>
        <w:t xml:space="preserve">一、合同组成及合同总价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 xml:space="preserve"> 合同文件组成内容包括：1、本合同书 ，2、补充协议或者双方签订的备忘录、会议纪要，3、中标通知书，4、采购文件（含采购文件澄清通知），5、投标文件（含澄清内容）等。</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合同文件内容有冲突的，按照上述顺序优先解释，同一顺序内容有冲突的，以最后签署日期的文件优先。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val="en-US" w:eastAsia="zh-CN"/>
        </w:rPr>
        <w:t>2、</w:t>
      </w:r>
      <w:r>
        <w:rPr>
          <w:rFonts w:hint="eastAsia" w:hAnsi="宋体"/>
          <w:color w:val="auto"/>
          <w:sz w:val="21"/>
          <w:szCs w:val="21"/>
          <w:highlight w:val="none"/>
        </w:rPr>
        <w:t xml:space="preserve"> 项目概况：松山湖国际创新创业社区H1-H3栋共有入户门1327樘，为了方便管理，现采购房间入户门联网智能门锁1327套，联网智能门锁管理系统1套。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 xml:space="preserve"> 采购内容包括：原有门锁拆除、锁口调整、智能门锁安装及配套网络安装、发卡器及门卡50张、控制系统设备及安装、系统调试、管理人员培训、售后服务等。</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货物需求收货标准一览表及技术规格:乙方按甲方要求打版各一套并安装到指定位置，甲乙双方对样板签字确认后，按合同数量，样板材质，颜色，规格，摆放位置等要求再批量生产如期交货。</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.1货物总体要求</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（1）乙方所投货物必须是原装、全新的产品，符合国家以及该产品的出厂标准。</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2）实际供货时将根据现场情况和实际使用功能作调整，如材料、规格、产品的效果图等的要求，乙方须无条件配合甲方的要求调整方案。最终供货方案经甲方确认成品样板或产品效果图后，方可正式实施生产供货，所涉及的一切费用由乙方承担。若乙方最终供应的货物在材质，颜色，规格、性能等方面若出现与经甲方确认的样板或产品效果图不一致，影响设备功能的，则乙方构成违约，应承担违约责任。事先获得甲方书面批准同意的除外。</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（3）乙方所投货物必须使用环保材料并符合国家环保要求及标准。</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4）签定合同后，乙方须无条件配合甲方到其生产加工现场就投入本项目有关的人员、设备、原材料采购、原料品牌、品质、型号、加工生产工艺流程、半成品，以及成品打包前质量、材质、款式等进行监督和检查；乙方须按甲方要求提交原材料采购的原始检验证、环保证、合格证等合法手续凭证，以得到甲方的监督和认可。如人员未能达到采购文件要求和投标文件中的承诺响应的，每发现一人处罚（</w:t>
      </w:r>
      <w:r>
        <w:rPr>
          <w:rFonts w:hint="eastAsia"/>
          <w:color w:val="auto"/>
          <w:sz w:val="21"/>
          <w:szCs w:val="21"/>
          <w:highlight w:val="none"/>
          <w:lang w:val="en-US" w:eastAsia="zh-CN"/>
        </w:rPr>
        <w:t>2000</w:t>
      </w:r>
      <w:r>
        <w:rPr>
          <w:rFonts w:hint="eastAsia"/>
          <w:color w:val="auto"/>
          <w:sz w:val="21"/>
          <w:szCs w:val="21"/>
          <w:highlight w:val="none"/>
        </w:rPr>
        <w:t>元/每人次）；如设备未能达到采购文件要求和投标文件中的承诺响应的，每发现一台处罚（</w:t>
      </w:r>
      <w:r>
        <w:rPr>
          <w:rFonts w:hint="eastAsia"/>
          <w:color w:val="auto"/>
          <w:sz w:val="21"/>
          <w:szCs w:val="21"/>
          <w:highlight w:val="none"/>
          <w:lang w:val="en-US" w:eastAsia="zh-CN"/>
        </w:rPr>
        <w:t>2000</w:t>
      </w:r>
      <w:r>
        <w:rPr>
          <w:rFonts w:hint="eastAsia"/>
          <w:color w:val="auto"/>
          <w:sz w:val="21"/>
          <w:szCs w:val="21"/>
          <w:highlight w:val="none"/>
        </w:rPr>
        <w:t>元/每台）；监督检查发现生产过程中有不符合相关规定的，甲方有权视其情节轻重进行处罚。</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5）乙方应保证货物在不需要增配未列出配件（特别指出的除外）的前提下货物功能、技术标准能够达到采购文件的要求，而无须再增配未列出的配件；如乙方所提供的产品需要增配配件才能达到要求的，所增配的配件须由乙方免费提供。</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（6）货物在验收合格前的保险由乙方负责，且乙方负责其派出的现场服务人员人身意外保险。</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7</w:t>
      </w:r>
      <w:r>
        <w:rPr>
          <w:rFonts w:hint="eastAsia"/>
          <w:color w:val="auto"/>
          <w:sz w:val="21"/>
          <w:szCs w:val="21"/>
          <w:highlight w:val="none"/>
        </w:rPr>
        <w:t>）乙方应对甲方提供免费培训服务。</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.2</w:t>
      </w:r>
      <w:r>
        <w:rPr>
          <w:rFonts w:hint="eastAsia"/>
          <w:color w:val="auto"/>
          <w:sz w:val="21"/>
          <w:szCs w:val="21"/>
          <w:highlight w:val="none"/>
          <w:lang w:val="en-US" w:eastAsia="zh-CN"/>
        </w:rPr>
        <w:t xml:space="preserve"> </w:t>
      </w:r>
      <w:r>
        <w:rPr>
          <w:rFonts w:hint="eastAsia"/>
          <w:color w:val="auto"/>
          <w:sz w:val="21"/>
          <w:szCs w:val="21"/>
          <w:highlight w:val="none"/>
        </w:rPr>
        <w:t>技术要求和标准：</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（1）智能门锁技术要求：</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t>①工作电源：使用干电池供电（待机时间不少于</w:t>
      </w:r>
      <w:r>
        <w:rPr>
          <w:rFonts w:hint="eastAsia"/>
          <w:color w:val="auto"/>
          <w:sz w:val="21"/>
          <w:szCs w:val="21"/>
          <w:highlight w:val="none"/>
          <w:lang w:val="en-US" w:eastAsia="zh-CN"/>
        </w:rPr>
        <w:t>8个月</w:t>
      </w:r>
      <w:r>
        <w:rPr>
          <w:rFonts w:hint="eastAsia"/>
          <w:color w:val="auto"/>
          <w:sz w:val="21"/>
          <w:szCs w:val="21"/>
          <w:highlight w:val="none"/>
        </w:rPr>
        <w:t>），待机电流不高于60微安，动态电流小于200毫安。</w:t>
      </w:r>
    </w:p>
    <w:p>
      <w:pPr>
        <w:pStyle w:val="47"/>
        <w:spacing w:before="0" w:beforeAutospacing="0" w:after="0" w:afterAutospacing="0" w:line="360" w:lineRule="auto"/>
        <w:ind w:left="630"/>
        <w:rPr>
          <w:rFonts w:hint="eastAsia" w:eastAsia="宋体"/>
          <w:color w:val="auto"/>
          <w:sz w:val="21"/>
          <w:szCs w:val="21"/>
          <w:highlight w:val="none"/>
          <w:lang w:eastAsia="zh-CN"/>
        </w:rPr>
      </w:pPr>
      <w:r>
        <w:rPr>
          <w:rFonts w:hint="eastAsia"/>
          <w:color w:val="auto"/>
          <w:sz w:val="21"/>
          <w:szCs w:val="21"/>
          <w:highlight w:val="none"/>
        </w:rPr>
        <w:t>②门锁支持卡型：需具备不少于5种开门模式，同时支持蓝牙手机开锁、NFC、全触摸密码开锁、IC卡、机械钥匙等</w:t>
      </w:r>
      <w:r>
        <w:rPr>
          <w:rFonts w:hint="eastAsia"/>
          <w:color w:val="auto"/>
          <w:sz w:val="21"/>
          <w:szCs w:val="21"/>
          <w:highlight w:val="none"/>
          <w:lang w:eastAsia="zh-CN"/>
        </w:rPr>
        <w:t>。</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t>③开门方式：手机APP开门、刷卡开门、远程开门、密码开门（临时、永久、时效密码）、机械钥匙开门、临时授权开门。</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t>④锁体：不锈钢拉丝面、五锁舌防撬锁体、B级锁芯，不锈钢锁舌，支持防盗门锁体（符合GA 374-2001标准），主锁舌采用 “一体式加强型主锁舌”提供样品及图片盖章。</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t>⑤材质：铝合金材质，厚度1.5mm及以上。控制器采用工业级元器件，电路板需加装三防设计。</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t>⑥锁芯：锁芯为铜质，安全等级为B级及以上；锁体执手机械寿命大于20万次 （需提供第三方检测报告并加盖原厂公章）</w:t>
      </w:r>
      <w:r>
        <w:rPr>
          <w:rFonts w:hint="eastAsia"/>
          <w:color w:val="auto"/>
          <w:sz w:val="21"/>
          <w:szCs w:val="21"/>
          <w:highlight w:val="none"/>
          <w:lang w:eastAsia="zh-CN"/>
        </w:rPr>
        <w:t>。</w:t>
      </w:r>
      <w:r>
        <w:rPr>
          <w:rFonts w:hint="eastAsia"/>
          <w:color w:val="auto"/>
          <w:sz w:val="21"/>
          <w:szCs w:val="21"/>
          <w:highlight w:val="none"/>
        </w:rPr>
        <w:t xml:space="preserve"> </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t>⑦低电压告警与提醒：当工作电压低于一定电压时，开门时有低电量提示，后台有电量显示和通知告警。</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t>⑧防破坏报警：防护面遭受外力破坏，支持声光报警和报警信号输出。</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t>⑨联网：采用蓝牙通信的方式，连接至各楼层的网关，当网络出现故障无法正常连接，门锁可运行于脱机模式。新增用户可通过手机下发，记录在网络恢复后可上传。</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t>⑩应急开锁：隐藏式应急锁孔设计，及外接电源口。电池电量不足时，充电宝可供电且机械钥匙开锁。</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fldChar w:fldCharType="begin"/>
      </w:r>
      <w:r>
        <w:rPr>
          <w:rFonts w:hint="eastAsia"/>
          <w:color w:val="auto"/>
          <w:sz w:val="21"/>
          <w:szCs w:val="21"/>
          <w:highlight w:val="none"/>
        </w:rPr>
        <w:instrText xml:space="preserve"> EQ \o\ac(</w:instrText>
      </w:r>
      <w:r>
        <w:rPr>
          <w:rFonts w:hint="eastAsia"/>
          <w:color w:val="auto"/>
          <w:position w:val="-4"/>
          <w:sz w:val="31"/>
          <w:szCs w:val="21"/>
          <w:highlight w:val="none"/>
        </w:rPr>
        <w:instrText xml:space="preserve">○</w:instrText>
      </w:r>
      <w:r>
        <w:rPr>
          <w:rFonts w:hint="eastAsia"/>
          <w:color w:val="auto"/>
          <w:sz w:val="21"/>
          <w:szCs w:val="21"/>
          <w:highlight w:val="none"/>
        </w:rPr>
        <w:instrText xml:space="preserve">,11)</w:instrText>
      </w:r>
      <w:r>
        <w:rPr>
          <w:rFonts w:hint="eastAsia"/>
          <w:color w:val="auto"/>
          <w:sz w:val="21"/>
          <w:szCs w:val="21"/>
          <w:highlight w:val="none"/>
        </w:rPr>
        <w:fldChar w:fldCharType="end"/>
      </w:r>
      <w:r>
        <w:rPr>
          <w:rFonts w:hint="eastAsia"/>
          <w:color w:val="auto"/>
          <w:sz w:val="21"/>
          <w:szCs w:val="21"/>
          <w:highlight w:val="none"/>
        </w:rPr>
        <w:t>需符合GA 374-2001标准并具有公安部安全与警用电子产品质量检测中心出具的检验报告。</w:t>
      </w:r>
    </w:p>
    <w:p>
      <w:pPr>
        <w:pStyle w:val="47"/>
        <w:spacing w:before="0" w:beforeAutospacing="0" w:after="0" w:afterAutospacing="0" w:line="360" w:lineRule="auto"/>
        <w:ind w:left="630"/>
        <w:rPr>
          <w:color w:val="auto"/>
          <w:sz w:val="21"/>
          <w:szCs w:val="21"/>
          <w:highlight w:val="none"/>
        </w:rPr>
      </w:pPr>
      <w:r>
        <w:rPr>
          <w:rFonts w:hint="eastAsia"/>
          <w:color w:val="auto"/>
          <w:sz w:val="21"/>
          <w:szCs w:val="21"/>
          <w:highlight w:val="none"/>
        </w:rPr>
        <w:fldChar w:fldCharType="begin"/>
      </w:r>
      <w:r>
        <w:rPr>
          <w:rFonts w:hint="eastAsia"/>
          <w:color w:val="auto"/>
          <w:sz w:val="21"/>
          <w:szCs w:val="21"/>
          <w:highlight w:val="none"/>
        </w:rPr>
        <w:instrText xml:space="preserve"> EQ \o\ac(</w:instrText>
      </w:r>
      <w:r>
        <w:rPr>
          <w:rFonts w:hint="eastAsia"/>
          <w:color w:val="auto"/>
          <w:position w:val="-4"/>
          <w:sz w:val="31"/>
          <w:szCs w:val="21"/>
          <w:highlight w:val="none"/>
        </w:rPr>
        <w:instrText xml:space="preserve">○</w:instrText>
      </w:r>
      <w:r>
        <w:rPr>
          <w:rFonts w:hint="eastAsia"/>
          <w:color w:val="auto"/>
          <w:sz w:val="21"/>
          <w:szCs w:val="21"/>
          <w:highlight w:val="none"/>
        </w:rPr>
        <w:instrText xml:space="preserve">,12)</w:instrText>
      </w:r>
      <w:r>
        <w:rPr>
          <w:rFonts w:hint="eastAsia"/>
          <w:color w:val="auto"/>
          <w:sz w:val="21"/>
          <w:szCs w:val="21"/>
          <w:highlight w:val="none"/>
        </w:rPr>
        <w:fldChar w:fldCharType="end"/>
      </w:r>
      <w:r>
        <w:rPr>
          <w:rFonts w:hint="eastAsia"/>
          <w:color w:val="auto"/>
          <w:sz w:val="21"/>
          <w:szCs w:val="21"/>
          <w:highlight w:val="none"/>
        </w:rPr>
        <w:t>授权及软件：智能门锁授权数量不限制。软件全覆盖单机版智能门锁功能。支持异地网络开门，门锁远程授权及取消，门锁固件网络化集中升级。</w:t>
      </w:r>
    </w:p>
    <w:p>
      <w:pPr>
        <w:pStyle w:val="47"/>
        <w:spacing w:before="0" w:beforeAutospacing="0" w:after="0" w:afterAutospacing="0" w:line="360" w:lineRule="auto"/>
        <w:rPr>
          <w:color w:val="auto"/>
          <w:sz w:val="21"/>
          <w:szCs w:val="21"/>
          <w:highlight w:val="none"/>
        </w:rPr>
      </w:pPr>
      <w:r>
        <w:rPr>
          <w:rFonts w:hint="eastAsia"/>
          <w:color w:val="auto"/>
          <w:sz w:val="21"/>
          <w:szCs w:val="21"/>
          <w:highlight w:val="none"/>
        </w:rPr>
        <w:t xml:space="preserve">    （2）管理系统技术要求</w:t>
      </w:r>
    </w:p>
    <w:p>
      <w:pPr>
        <w:pStyle w:val="47"/>
        <w:spacing w:before="0" w:beforeAutospacing="0" w:after="0" w:afterAutospacing="0" w:line="360" w:lineRule="auto"/>
        <w:ind w:left="630" w:firstLine="210" w:firstLineChars="100"/>
        <w:rPr>
          <w:color w:val="auto"/>
          <w:sz w:val="21"/>
          <w:szCs w:val="21"/>
          <w:highlight w:val="none"/>
        </w:rPr>
      </w:pPr>
      <w:r>
        <w:rPr>
          <w:rFonts w:hint="eastAsia"/>
          <w:color w:val="auto"/>
          <w:sz w:val="21"/>
          <w:szCs w:val="21"/>
          <w:highlight w:val="none"/>
        </w:rPr>
        <w:t>①平台架构：系统管理方式支持网络式、多用户、多角色管理。</w:t>
      </w:r>
    </w:p>
    <w:p>
      <w:pPr>
        <w:pStyle w:val="47"/>
        <w:spacing w:before="0" w:beforeAutospacing="0" w:after="0" w:afterAutospacing="0" w:line="360" w:lineRule="auto"/>
        <w:ind w:left="630" w:firstLine="210" w:firstLineChars="100"/>
        <w:rPr>
          <w:color w:val="auto"/>
          <w:sz w:val="21"/>
          <w:szCs w:val="21"/>
          <w:highlight w:val="none"/>
        </w:rPr>
      </w:pPr>
      <w:r>
        <w:rPr>
          <w:rFonts w:hint="eastAsia"/>
          <w:color w:val="auto"/>
          <w:sz w:val="21"/>
          <w:szCs w:val="21"/>
          <w:highlight w:val="none"/>
        </w:rPr>
        <w:t>②分权管理：可以根据用户所属按照楼栋、楼层分区域管理。系统的操作员可以分为多个级别。级别低的操作员只能对信息进行监视，而级别最高的操作员可以对系统内的任何权限进行修改。</w:t>
      </w:r>
    </w:p>
    <w:p>
      <w:pPr>
        <w:pStyle w:val="47"/>
        <w:spacing w:before="0" w:beforeAutospacing="0" w:after="0" w:afterAutospacing="0" w:line="360" w:lineRule="auto"/>
        <w:ind w:left="630" w:firstLine="210" w:firstLineChars="100"/>
        <w:rPr>
          <w:color w:val="auto"/>
          <w:sz w:val="21"/>
          <w:szCs w:val="21"/>
          <w:highlight w:val="none"/>
        </w:rPr>
      </w:pPr>
      <w:r>
        <w:rPr>
          <w:rFonts w:hint="eastAsia"/>
          <w:color w:val="auto"/>
          <w:sz w:val="21"/>
          <w:szCs w:val="21"/>
          <w:highlight w:val="none"/>
        </w:rPr>
        <w:t>③兼容性：提供开放的API框架，完成智能设备的安全接入、远程控制、状态查询、OTA版本升级等功能以及第三方APP的安全接入。</w:t>
      </w:r>
    </w:p>
    <w:p>
      <w:pPr>
        <w:pStyle w:val="47"/>
        <w:spacing w:before="0" w:beforeAutospacing="0" w:after="0" w:afterAutospacing="0" w:line="360" w:lineRule="auto"/>
        <w:ind w:left="630" w:firstLine="210" w:firstLineChars="100"/>
        <w:rPr>
          <w:color w:val="auto"/>
          <w:sz w:val="21"/>
          <w:szCs w:val="21"/>
          <w:highlight w:val="none"/>
        </w:rPr>
      </w:pPr>
      <w:r>
        <w:rPr>
          <w:rFonts w:hint="eastAsia"/>
          <w:color w:val="auto"/>
          <w:sz w:val="21"/>
          <w:szCs w:val="21"/>
          <w:highlight w:val="none"/>
        </w:rPr>
        <w:t>④移动端软件：APP必须同时支持Android 与 IOS系统。Android版APP在各大应用商店均可下载，IOS版APP可在苹果的APPLE Store下载。APP需同时提供管理员功能与用户功能。管理员端可通过APP查看分栋、分楼层、分房间号、房间空置、绑定设备、授权用户等基本信息。（提供系统截图并盖章）</w:t>
      </w:r>
    </w:p>
    <w:p>
      <w:pPr>
        <w:pStyle w:val="47"/>
        <w:spacing w:before="0" w:beforeAutospacing="0" w:after="0" w:afterAutospacing="0" w:line="360" w:lineRule="auto"/>
        <w:ind w:left="630" w:firstLine="210" w:firstLineChars="100"/>
        <w:rPr>
          <w:color w:val="auto"/>
          <w:sz w:val="21"/>
          <w:szCs w:val="21"/>
          <w:highlight w:val="none"/>
        </w:rPr>
      </w:pPr>
      <w:r>
        <w:rPr>
          <w:rFonts w:hint="eastAsia"/>
          <w:color w:val="auto"/>
          <w:sz w:val="21"/>
          <w:szCs w:val="21"/>
          <w:highlight w:val="none"/>
        </w:rPr>
        <w:t>⑤数据查询：可以查询开锁记录数据。包括时间，开锁方式（刷卡、临时授权、手机开门、钥匙开门等）等。</w:t>
      </w:r>
    </w:p>
    <w:p>
      <w:pPr>
        <w:pStyle w:val="47"/>
        <w:spacing w:before="0" w:beforeAutospacing="0" w:after="0" w:afterAutospacing="0" w:line="360" w:lineRule="auto"/>
        <w:ind w:left="630" w:firstLine="210" w:firstLineChars="100"/>
        <w:rPr>
          <w:color w:val="auto"/>
          <w:sz w:val="21"/>
          <w:szCs w:val="21"/>
          <w:highlight w:val="none"/>
        </w:rPr>
      </w:pPr>
      <w:r>
        <w:rPr>
          <w:rFonts w:hint="eastAsia"/>
          <w:color w:val="auto"/>
          <w:sz w:val="21"/>
          <w:szCs w:val="21"/>
          <w:highlight w:val="none"/>
        </w:rPr>
        <w:t>⑥门锁电量告警：电池出现低电压即告警，后台提示管理人员。</w:t>
      </w:r>
    </w:p>
    <w:p>
      <w:pPr>
        <w:pStyle w:val="47"/>
        <w:spacing w:before="0" w:beforeAutospacing="0" w:after="0" w:afterAutospacing="0" w:line="360" w:lineRule="auto"/>
        <w:ind w:left="630" w:firstLine="210" w:firstLineChars="100"/>
        <w:rPr>
          <w:color w:val="auto"/>
          <w:sz w:val="21"/>
          <w:szCs w:val="21"/>
          <w:highlight w:val="none"/>
        </w:rPr>
      </w:pPr>
      <w:r>
        <w:rPr>
          <w:rFonts w:hint="eastAsia"/>
          <w:color w:val="auto"/>
          <w:sz w:val="21"/>
          <w:szCs w:val="21"/>
          <w:highlight w:val="none"/>
        </w:rPr>
        <w:t>⑦门锁状态实时监控功能：可在管理系统软件自定义查看电池电量；点击实时反映使用智能锁具的状态，并可查询历史开锁数据。</w:t>
      </w:r>
    </w:p>
    <w:p>
      <w:pPr>
        <w:pStyle w:val="47"/>
        <w:spacing w:before="0" w:beforeAutospacing="0" w:after="0" w:afterAutospacing="0" w:line="360" w:lineRule="auto"/>
        <w:ind w:left="630" w:firstLine="210" w:firstLineChars="100"/>
        <w:rPr>
          <w:color w:val="auto"/>
          <w:sz w:val="21"/>
          <w:szCs w:val="21"/>
          <w:highlight w:val="none"/>
        </w:rPr>
      </w:pPr>
      <w:r>
        <w:rPr>
          <w:rFonts w:hint="eastAsia"/>
          <w:color w:val="auto"/>
          <w:sz w:val="21"/>
          <w:szCs w:val="21"/>
          <w:highlight w:val="none"/>
        </w:rPr>
        <w:t>⑧智能管理APP智能设备控制功能：支持开门、授权、配置/修改数字密码、解绑设备、删除添加用户等功能。</w:t>
      </w:r>
    </w:p>
    <w:p>
      <w:pPr>
        <w:pStyle w:val="47"/>
        <w:spacing w:before="0" w:beforeAutospacing="0" w:after="0" w:afterAutospacing="0" w:line="360" w:lineRule="auto"/>
        <w:ind w:left="630" w:firstLine="210" w:firstLineChars="100"/>
        <w:rPr>
          <w:color w:val="auto"/>
          <w:sz w:val="21"/>
          <w:szCs w:val="21"/>
          <w:highlight w:val="none"/>
        </w:rPr>
      </w:pPr>
      <w:r>
        <w:rPr>
          <w:rFonts w:hint="eastAsia"/>
          <w:color w:val="auto"/>
          <w:sz w:val="21"/>
          <w:szCs w:val="21"/>
          <w:highlight w:val="none"/>
        </w:rPr>
        <w:t>⑨智能管理APP基本功能：支持门锁的绑定、解绑、开门、授权、配置密码、重置钥匙、查看开门记录、状态查看、电量查看以及版本升级。</w:t>
      </w:r>
    </w:p>
    <w:p>
      <w:pPr>
        <w:pStyle w:val="47"/>
        <w:spacing w:line="360" w:lineRule="auto"/>
        <w:ind w:firstLine="630" w:firstLineChars="300"/>
        <w:rPr>
          <w:rFonts w:hint="eastAsia"/>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.3 设备技术参数要求</w:t>
      </w:r>
    </w:p>
    <w:tbl>
      <w:tblPr>
        <w:tblStyle w:val="5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8"/>
        <w:gridCol w:w="1450"/>
        <w:gridCol w:w="7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产品名称</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智能门锁</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1.材质：前后面板及把手：铝合金，厚度1.5mm及以上。控制器采用工业级元器件，电路板需加装三防设计。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2.表面处理：喷油、黑色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3.锁体：不锈钢双锁舌带防撞舌，支持防盗门锁体（符合GA 374-2001标准），锁芯级别：≥B级，锁体执手机械寿命≥20万次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4.功能:蓝牙、密码、卡、机械钥匙、NFC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5.通过APP可远程：发送密码、终止密码、时时查看记录、远程开门、查看电量等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6.其他：含干电池，待机时长≥8个月，待机电流不高于60微安，动态电流小于200毫安。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7.低电压告警与提醒：当工作电压低于一定电压时，开门时有低电量提示，后台有电量显示和通知告警。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8.防破坏报警：防护面遭受外力破坏，支持声光报警和报警信号输出。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9.联网：采用蓝牙通信的方式，对于无线联网门锁，当网络出现故障无法正常连接，门锁可运行于脱机模式。新增用户可通过手机下发，记录在网络恢复后可上传。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10.应急开锁：隐藏式应急锁孔设计，及外接电源口。电池电量不足时，充电宝可供电且机械钥匙开锁。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11.需符合GA 374-2001标准并具有公安部安全与警用电子产品质量检测中心出具的检验报告。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12.授权及软件：智能门锁授权数量不限制。软件全覆盖单机版智能门锁功能。支持异地网络开门，门锁远程授权及取消，门锁固件网络化集中升级。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蓝牙智能网关/中英文</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1.入网及供电方式：网线入网、供电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2.通讯方式：</w:t>
            </w:r>
            <w:r>
              <w:rPr>
                <w:rFonts w:hint="eastAsia" w:hAnsi="宋体" w:cs="宋体"/>
                <w:i w:val="0"/>
                <w:iCs w:val="0"/>
                <w:color w:val="auto"/>
                <w:kern w:val="0"/>
                <w:sz w:val="21"/>
                <w:szCs w:val="21"/>
                <w:highlight w:val="none"/>
                <w:u w:val="none"/>
                <w:lang w:val="en-US" w:eastAsia="zh-CN" w:bidi="ar"/>
              </w:rPr>
              <w:t>蓝牙</w:t>
            </w:r>
            <w:r>
              <w:rPr>
                <w:rFonts w:hint="eastAsia" w:ascii="宋体" w:hAnsi="宋体" w:eastAsia="宋体" w:cs="宋体"/>
                <w:i w:val="0"/>
                <w:iCs w:val="0"/>
                <w:color w:val="auto"/>
                <w:kern w:val="0"/>
                <w:sz w:val="21"/>
                <w:szCs w:val="21"/>
                <w:highlight w:val="none"/>
                <w:u w:val="none"/>
                <w:lang w:val="en-US" w:eastAsia="zh-CN" w:bidi="ar"/>
              </w:rPr>
              <w:t>无线通讯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3.有效距离：空旷20m内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1.名称：企业级全千兆三层网管交换机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2.适用场景：接入交换机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3.路由：支持动态静态路由vlan端口镜像汇聚隔离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4.规格：桌面式交换机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5.云管理交换机：支持云管理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6.端口速率：千兆*8+2个千兆SFP光口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1.名称：企业级云管理交换机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2.适用场景：接入交换机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3.规格：桌面式交换机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4.端口数量：24口+2个千兆SFP端口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5.管理交换机：支持云管理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6.下行端口速率：千兆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7.下行接口类型：以太网交换机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企业级9口百兆8口POE非网管PoE交换机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1.名称：企业级POE交换机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2.上行端口速率：≥百兆套装：单品下行端口速率：≥百兆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3.适用网络：微型网络，端口数量：≥16口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4.功能：网络分线器 集线器分流器 即插即用 支持AP供电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5.供电：支持AP供电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1.名称：PoE交换机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2.上行端口速率：≥百兆套装：单品下行端口速率：≥百兆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3.适用网络：微型网络，端口数量：≥9口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4.接口类型：以太网交换机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5.端口供电功能：POE供电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jc w:val="center"/>
        </w:trPr>
        <w:tc>
          <w:tcPr>
            <w:tcW w:w="618" w:type="pct"/>
            <w:tcBorders>
              <w:top w:val="single" w:color="000000" w:sz="4" w:space="0"/>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全网通手机</w:t>
            </w:r>
          </w:p>
        </w:tc>
        <w:tc>
          <w:tcPr>
            <w:tcW w:w="3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1.平稳运行移动端管理软件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2.运行内存≥8GB+机身内存≥256GB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3.CPU核数八核、双卡双卡双待，网络制式支持联通 4G+/4G/3G/2G，移动 4G+/4G/2G ,电信4G+/4G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4.系统：鸿蒙、安卓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5.屏幕尺寸≥6.5英寸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6.电池容量6000mAh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7.后置双摄摄像头：≥4800万像素主摄摄像头+200万像素景深摄像头、前置摄像头前置单摄：≥800万像素。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8.屏幕尺寸：≥6.5+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9.分辨率HD+ 1600x720</w:t>
            </w:r>
          </w:p>
        </w:tc>
      </w:tr>
    </w:tbl>
    <w:p>
      <w:pPr>
        <w:pStyle w:val="3"/>
        <w:numPr>
          <w:ilvl w:val="0"/>
          <w:numId w:val="16"/>
        </w:numPr>
        <w:spacing w:after="0" w:line="360" w:lineRule="auto"/>
        <w:ind w:left="0" w:leftChars="0" w:firstLine="420" w:firstLineChars="200"/>
        <w:rPr>
          <w:rFonts w:ascii="宋体" w:hAnsi="宋体"/>
          <w:color w:val="auto"/>
          <w:szCs w:val="21"/>
          <w:highlight w:val="none"/>
        </w:rPr>
      </w:pPr>
      <w:r>
        <w:rPr>
          <w:rFonts w:hint="eastAsia" w:ascii="宋体" w:hAnsi="宋体"/>
          <w:color w:val="auto"/>
          <w:szCs w:val="21"/>
          <w:highlight w:val="none"/>
        </w:rPr>
        <w:t>本合同含税总价为¥</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元），其中：增值税税率为</w:t>
      </w:r>
      <w:r>
        <w:rPr>
          <w:rFonts w:hint="eastAsia" w:ascii="宋体" w:hAnsi="宋体"/>
          <w:color w:val="auto"/>
          <w:szCs w:val="21"/>
          <w:highlight w:val="none"/>
          <w:u w:val="single"/>
        </w:rPr>
        <w:t xml:space="preserve">   </w:t>
      </w:r>
      <w:r>
        <w:rPr>
          <w:rFonts w:hint="eastAsia" w:ascii="宋体" w:hAnsi="宋体"/>
          <w:color w:val="auto"/>
          <w:szCs w:val="21"/>
          <w:highlight w:val="none"/>
        </w:rPr>
        <w:t>%，税金金额¥</w:t>
      </w:r>
      <w:r>
        <w:rPr>
          <w:rFonts w:hint="eastAsia" w:ascii="宋体" w:hAnsi="宋体"/>
          <w:color w:val="auto"/>
          <w:szCs w:val="21"/>
          <w:highlight w:val="none"/>
          <w:u w:val="single"/>
        </w:rPr>
        <w:t xml:space="preserve">        </w:t>
      </w:r>
      <w:r>
        <w:rPr>
          <w:rFonts w:hint="eastAsia" w:ascii="宋体" w:hAnsi="宋体"/>
          <w:color w:val="auto"/>
          <w:szCs w:val="21"/>
          <w:highlight w:val="none"/>
        </w:rPr>
        <w:t>元，不含税合同总价款为¥</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pStyle w:val="144"/>
        <w:spacing w:line="360" w:lineRule="auto"/>
        <w:rPr>
          <w:rFonts w:ascii="宋体" w:hAnsi="宋体"/>
          <w:color w:val="auto"/>
          <w:szCs w:val="21"/>
          <w:highlight w:val="none"/>
        </w:rPr>
      </w:pPr>
      <w:r>
        <w:rPr>
          <w:rFonts w:hint="eastAsia" w:ascii="宋体" w:hAnsi="宋体"/>
          <w:color w:val="auto"/>
          <w:szCs w:val="21"/>
          <w:highlight w:val="none"/>
        </w:rPr>
        <w:t>本合同价为包干价，除</w:t>
      </w:r>
      <w:r>
        <w:rPr>
          <w:rFonts w:hint="eastAsia" w:ascii="宋体" w:hAnsi="宋体"/>
          <w:color w:val="auto"/>
          <w:szCs w:val="21"/>
          <w:highlight w:val="none"/>
          <w:lang w:val="en-US" w:eastAsia="zh-CN"/>
        </w:rPr>
        <w:t>甲方另有要求否则</w:t>
      </w:r>
      <w:r>
        <w:rPr>
          <w:rFonts w:hint="eastAsia" w:ascii="宋体" w:hAnsi="宋体"/>
          <w:color w:val="auto"/>
          <w:szCs w:val="21"/>
          <w:highlight w:val="none"/>
        </w:rPr>
        <w:t>不可调整。总价包含应包含采购范围内方案图纸及系统深化设计及其所需的货物及所需附件的购置费、采保费、运输费、安装、调试费、保险费、各种税费、检测费、售后服务费、保修期间的费用、</w:t>
      </w:r>
      <w:r>
        <w:rPr>
          <w:rFonts w:hint="eastAsia" w:ascii="宋体" w:hAnsi="宋体"/>
          <w:bCs/>
          <w:color w:val="auto"/>
          <w:szCs w:val="21"/>
          <w:highlight w:val="none"/>
        </w:rPr>
        <w:t>因安装或施工破坏需按原状恢复的费用，包含</w:t>
      </w:r>
      <w:r>
        <w:rPr>
          <w:rFonts w:hint="eastAsia" w:ascii="宋体" w:hAnsi="宋体"/>
          <w:color w:val="auto"/>
          <w:szCs w:val="21"/>
          <w:highlight w:val="none"/>
        </w:rPr>
        <w:t>合同实施过程中的应预见和不可预见等完成合同规定责任和义务、达到合同目的的一切费用。</w:t>
      </w:r>
    </w:p>
    <w:p>
      <w:pPr>
        <w:pStyle w:val="47"/>
        <w:spacing w:before="0" w:beforeAutospacing="0" w:after="0" w:afterAutospacing="0" w:line="360"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6、 </w:t>
      </w:r>
      <w:r>
        <w:rPr>
          <w:rFonts w:hint="eastAsia"/>
          <w:color w:val="auto"/>
          <w:sz w:val="21"/>
          <w:szCs w:val="21"/>
          <w:highlight w:val="none"/>
        </w:rPr>
        <w:t>货物清单及价格明细表。</w:t>
      </w:r>
    </w:p>
    <w:p>
      <w:pPr>
        <w:pStyle w:val="5"/>
        <w:bidi w:val="0"/>
        <w:rPr>
          <w:rFonts w:hint="eastAsia"/>
          <w:b/>
          <w:bCs/>
          <w:color w:val="auto"/>
          <w:highlight w:val="none"/>
        </w:rPr>
      </w:pPr>
      <w:r>
        <w:rPr>
          <w:rFonts w:hint="eastAsia"/>
          <w:b/>
          <w:bCs/>
          <w:color w:val="auto"/>
          <w:highlight w:val="none"/>
        </w:rPr>
        <w:t>二、合同主要条款</w:t>
      </w:r>
    </w:p>
    <w:p>
      <w:pPr>
        <w:pStyle w:val="47"/>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lang w:val="en-US" w:eastAsia="zh-CN"/>
        </w:rPr>
        <w:t>1、</w:t>
      </w:r>
      <w:r>
        <w:rPr>
          <w:rFonts w:hint="eastAsia"/>
          <w:b/>
          <w:bCs/>
          <w:color w:val="auto"/>
          <w:sz w:val="21"/>
          <w:szCs w:val="21"/>
          <w:highlight w:val="none"/>
        </w:rPr>
        <w:t>本合同的付款方式：</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　成交通知书发出后，合同签订前中标人向采购人提交为本合同总价10%的不可撤销银行保函或履约保证金；</w:t>
      </w:r>
    </w:p>
    <w:p>
      <w:pPr>
        <w:pStyle w:val="10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1.2 </w:t>
      </w:r>
      <w:r>
        <w:rPr>
          <w:rFonts w:hint="eastAsia" w:ascii="宋体" w:hAnsi="宋体" w:cs="宋体"/>
          <w:color w:val="auto"/>
          <w:szCs w:val="21"/>
          <w:highlight w:val="none"/>
        </w:rPr>
        <w:t>双方签订合同后，中标人提交符合采购人要求的请款报告及相关资料后7天内，支付至合同总额的20%；</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1.3 每月按实际完成内容的80%支付进度款</w:t>
      </w:r>
      <w:r>
        <w:rPr>
          <w:rFonts w:hint="eastAsia" w:ascii="宋体" w:hAnsi="宋体" w:cs="宋体"/>
          <w:color w:val="auto"/>
          <w:szCs w:val="21"/>
          <w:highlight w:val="none"/>
        </w:rPr>
        <w:t>；</w:t>
      </w:r>
    </w:p>
    <w:p>
      <w:pPr>
        <w:pStyle w:val="100"/>
        <w:spacing w:line="360" w:lineRule="auto"/>
        <w:rPr>
          <w:rFonts w:ascii="宋体" w:hAnsi="宋体" w:cs="宋体"/>
          <w:color w:val="auto"/>
          <w:sz w:val="21"/>
          <w:szCs w:val="21"/>
          <w:highlight w:val="none"/>
        </w:rPr>
      </w:pPr>
      <w:r>
        <w:rPr>
          <w:rFonts w:hint="eastAsia" w:ascii="宋体" w:hAnsi="宋体" w:cs="宋体"/>
          <w:color w:val="auto"/>
          <w:szCs w:val="21"/>
          <w:highlight w:val="none"/>
          <w:lang w:val="en-US" w:eastAsia="zh-CN"/>
        </w:rPr>
        <w:t xml:space="preserve">1.4 </w:t>
      </w:r>
      <w:r>
        <w:rPr>
          <w:rFonts w:hint="eastAsia" w:ascii="宋体" w:hAnsi="宋体" w:cs="宋体"/>
          <w:color w:val="auto"/>
          <w:szCs w:val="21"/>
          <w:highlight w:val="none"/>
        </w:rPr>
        <w:t>所有</w:t>
      </w:r>
      <w:r>
        <w:rPr>
          <w:rFonts w:hint="eastAsia" w:ascii="宋体" w:hAnsi="宋体" w:cs="宋体"/>
          <w:color w:val="auto"/>
          <w:szCs w:val="21"/>
          <w:highlight w:val="none"/>
          <w:lang w:val="en-US" w:eastAsia="zh-CN"/>
        </w:rPr>
        <w:t>合同内容完成后</w:t>
      </w:r>
      <w:r>
        <w:rPr>
          <w:rFonts w:hint="eastAsia" w:ascii="宋体" w:hAnsi="宋体" w:cs="宋体"/>
          <w:color w:val="auto"/>
          <w:szCs w:val="21"/>
          <w:highlight w:val="none"/>
        </w:rPr>
        <w:t>，中标人提交符合采购人要求的请款报告及相关资料后7天内，支付至合同</w:t>
      </w:r>
      <w:r>
        <w:rPr>
          <w:rFonts w:hint="eastAsia" w:ascii="宋体" w:hAnsi="宋体" w:cs="宋体"/>
          <w:color w:val="auto"/>
          <w:sz w:val="21"/>
          <w:szCs w:val="21"/>
          <w:highlight w:val="none"/>
        </w:rPr>
        <w:t>总额的80%；</w:t>
      </w:r>
    </w:p>
    <w:p>
      <w:pPr>
        <w:pStyle w:val="10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1.5 </w:t>
      </w:r>
      <w:r>
        <w:rPr>
          <w:rFonts w:hint="eastAsia" w:ascii="宋体" w:hAnsi="宋体" w:cs="宋体"/>
          <w:color w:val="auto"/>
          <w:sz w:val="21"/>
          <w:szCs w:val="21"/>
          <w:highlight w:val="none"/>
        </w:rPr>
        <w:t>项目竣工验收合格并结算完成后，中标人提交符合采购人要求的请款报告及相关资料后7天内，支付至结算价的97%；</w:t>
      </w:r>
    </w:p>
    <w:p>
      <w:pPr>
        <w:spacing w:line="360" w:lineRule="auto"/>
        <w:ind w:firstLine="420" w:firstLineChars="200"/>
        <w:rPr>
          <w:rFonts w:hAnsi="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6 </w:t>
      </w:r>
      <w:r>
        <w:rPr>
          <w:rFonts w:hint="eastAsia" w:ascii="宋体" w:hAnsi="宋体" w:cs="宋体"/>
          <w:color w:val="auto"/>
          <w:sz w:val="21"/>
          <w:szCs w:val="21"/>
          <w:highlight w:val="none"/>
        </w:rPr>
        <w:t>剩余结算价的3%为项目质保金，</w:t>
      </w:r>
      <w:r>
        <w:rPr>
          <w:rFonts w:hint="eastAsia" w:ascii="宋体" w:hAnsi="宋体" w:cs="宋体"/>
          <w:color w:val="auto"/>
          <w:sz w:val="21"/>
          <w:szCs w:val="21"/>
          <w:highlight w:val="none"/>
          <w:lang w:val="en-US" w:eastAsia="zh-CN"/>
        </w:rPr>
        <w:t>质保期结束后</w:t>
      </w:r>
      <w:r>
        <w:rPr>
          <w:rFonts w:hint="eastAsia" w:ascii="宋体" w:hAnsi="宋体" w:cs="宋体"/>
          <w:color w:val="auto"/>
          <w:sz w:val="21"/>
          <w:szCs w:val="21"/>
          <w:highlight w:val="none"/>
        </w:rPr>
        <w:t>，中标人提交符合采购人要求的请款报告及相关资料后7天内采购人一次性无息付清。</w:t>
      </w:r>
    </w:p>
    <w:p>
      <w:pPr>
        <w:pStyle w:val="2"/>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乙方收款账户信息如下：</w:t>
      </w:r>
    </w:p>
    <w:p>
      <w:pPr>
        <w:pStyle w:val="2"/>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账户名：</w:t>
      </w:r>
    </w:p>
    <w:p>
      <w:pPr>
        <w:pStyle w:val="2"/>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账户号：</w:t>
      </w:r>
    </w:p>
    <w:p>
      <w:pPr>
        <w:pStyle w:val="2"/>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开户行：</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按照现行税收政策规定，每次付款前，乙方必须提供合法有效、与本合同总价款条款中增值税税率一致的增值税发票给甲方，且发票名称必需与甲方、乙方完全一致，否则甲方有权拒绝付款且不构成违约；在甲方除支付质保金外的最后一期款项前，乙方须连同当期支付款项发票和质保金发票一并提交给甲方；若后续出现质保问题，按照质保责任和条款，部分或全部扣除质保金的，不退还相应金额的发票。若合同执行期间，如遇国家的税率调整，按最新政策税率执行，结算时按不含税价*新税率调整。如果因乙方怠于或者拒绝提供资料或者办理手续等乙方原因导致的付款迟延，责任全部由乙方承担，甲方不以违约论。</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本合同货物的交货时间为：</w:t>
      </w:r>
      <w:r>
        <w:rPr>
          <w:rFonts w:hint="eastAsia"/>
          <w:color w:val="auto"/>
          <w:sz w:val="21"/>
          <w:szCs w:val="21"/>
          <w:highlight w:val="none"/>
          <w:u w:val="single"/>
        </w:rPr>
        <w:t xml:space="preserve">  在收到“开工令”后的</w:t>
      </w:r>
      <w:r>
        <w:rPr>
          <w:rFonts w:hint="eastAsia"/>
          <w:color w:val="auto"/>
          <w:sz w:val="21"/>
          <w:szCs w:val="21"/>
          <w:highlight w:val="none"/>
          <w:u w:val="single"/>
          <w:lang w:val="en-US" w:eastAsia="zh-CN"/>
        </w:rPr>
        <w:t>60</w:t>
      </w:r>
      <w:r>
        <w:rPr>
          <w:rFonts w:hint="eastAsia"/>
          <w:color w:val="auto"/>
          <w:sz w:val="21"/>
          <w:szCs w:val="21"/>
          <w:highlight w:val="none"/>
          <w:u w:val="single"/>
        </w:rPr>
        <w:t xml:space="preserve">个日历日完成安装和调试 </w:t>
      </w:r>
      <w:r>
        <w:rPr>
          <w:rFonts w:hint="eastAsia"/>
          <w:color w:val="auto"/>
          <w:sz w:val="21"/>
          <w:szCs w:val="21"/>
          <w:highlight w:val="none"/>
        </w:rPr>
        <w:t>；</w:t>
      </w:r>
      <w:r>
        <w:rPr>
          <w:rFonts w:hint="eastAsia"/>
          <w:color w:val="auto"/>
          <w:sz w:val="21"/>
          <w:szCs w:val="21"/>
          <w:highlight w:val="none"/>
          <w:u w:val="single"/>
        </w:rPr>
        <w:t xml:space="preserve"> 按合同工期竣工交付使用，不得拖延，每拖延一天扣合同价款的千分之一。</w:t>
      </w:r>
      <w:r>
        <w:rPr>
          <w:rFonts w:hint="eastAsia"/>
          <w:color w:val="auto"/>
          <w:sz w:val="21"/>
          <w:szCs w:val="21"/>
          <w:highlight w:val="none"/>
        </w:rPr>
        <w:t xml:space="preserve"> 交货地点为：</w:t>
      </w:r>
      <w:r>
        <w:rPr>
          <w:rFonts w:hint="eastAsia"/>
          <w:color w:val="auto"/>
          <w:sz w:val="21"/>
          <w:szCs w:val="21"/>
          <w:highlight w:val="none"/>
          <w:u w:val="single"/>
        </w:rPr>
        <w:t xml:space="preserve">  东莞市松山湖大学创新城   </w:t>
      </w:r>
      <w:r>
        <w:rPr>
          <w:rFonts w:hint="eastAsia"/>
          <w:color w:val="auto"/>
          <w:sz w:val="21"/>
          <w:szCs w:val="21"/>
          <w:highlight w:val="none"/>
        </w:rPr>
        <w:t>。</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本合同货物的质保期为：</w:t>
      </w:r>
      <w:r>
        <w:rPr>
          <w:rFonts w:hint="eastAsia"/>
          <w:color w:val="auto"/>
          <w:sz w:val="21"/>
          <w:szCs w:val="21"/>
          <w:highlight w:val="none"/>
          <w:u w:val="single"/>
        </w:rPr>
        <w:t xml:space="preserve">  2年 （技术需求中个体设备有更高要求的，遵循更高要求）</w:t>
      </w:r>
      <w:r>
        <w:rPr>
          <w:rFonts w:hint="eastAsia"/>
          <w:color w:val="auto"/>
          <w:sz w:val="21"/>
          <w:szCs w:val="21"/>
          <w:highlight w:val="none"/>
        </w:rPr>
        <w:t>；</w:t>
      </w:r>
      <w:r>
        <w:rPr>
          <w:color w:val="auto"/>
          <w:sz w:val="21"/>
          <w:szCs w:val="21"/>
          <w:highlight w:val="none"/>
        </w:rPr>
        <w:t>自货物交付并经甲方验收合格之日起算。质量保修期内发生质量问题，全部由乙方负责包修或者包换，经维修仍无法正常运行的乙方应免费提供质量规格型号不低于原货物的产品进行替换，直至货物质量合格，正常运行。乙方怠于或拒绝履行的，甲方可委托第三方代为履行，发生的费用及损失由乙方承担。</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具体质量保修服务要求及售后承诺：</w:t>
      </w:r>
      <w:r>
        <w:rPr>
          <w:rFonts w:hint="eastAsia"/>
          <w:color w:val="auto"/>
          <w:sz w:val="21"/>
          <w:szCs w:val="21"/>
          <w:highlight w:val="none"/>
          <w:u w:val="single"/>
        </w:rPr>
        <w:t xml:space="preserve">                       </w:t>
      </w:r>
      <w:r>
        <w:rPr>
          <w:rFonts w:hint="eastAsia"/>
          <w:color w:val="auto"/>
          <w:sz w:val="21"/>
          <w:szCs w:val="21"/>
          <w:highlight w:val="none"/>
        </w:rPr>
        <w:t>。</w:t>
      </w:r>
    </w:p>
    <w:p>
      <w:pPr>
        <w:pStyle w:val="2"/>
        <w:snapToGrid w:val="0"/>
        <w:spacing w:line="360" w:lineRule="auto"/>
        <w:ind w:right="0" w:firstLine="422" w:firstLineChars="200"/>
        <w:jc w:val="left"/>
        <w:rPr>
          <w:rFonts w:hAnsi="宋体"/>
          <w:b w:val="0"/>
          <w:bCs w:val="0"/>
          <w:color w:val="auto"/>
          <w:sz w:val="21"/>
          <w:szCs w:val="21"/>
          <w:highlight w:val="none"/>
          <w:lang w:val="en-US"/>
        </w:rPr>
      </w:pPr>
      <w:r>
        <w:rPr>
          <w:rFonts w:hint="eastAsia" w:hAnsi="宋体"/>
          <w:color w:val="auto"/>
          <w:sz w:val="21"/>
          <w:szCs w:val="21"/>
          <w:highlight w:val="none"/>
          <w:lang w:val="en-US" w:eastAsia="zh-CN"/>
        </w:rPr>
        <w:t>5、</w:t>
      </w:r>
      <w:r>
        <w:rPr>
          <w:rFonts w:hint="eastAsia" w:hAnsi="宋体"/>
          <w:color w:val="auto"/>
          <w:sz w:val="21"/>
          <w:szCs w:val="21"/>
          <w:highlight w:val="none"/>
          <w:lang w:val="en-US"/>
        </w:rPr>
        <w:t>质量保修金及支付方式：</w:t>
      </w:r>
      <w:r>
        <w:rPr>
          <w:rFonts w:hint="eastAsia" w:hAnsi="宋体"/>
          <w:b w:val="0"/>
          <w:bCs w:val="0"/>
          <w:color w:val="auto"/>
          <w:sz w:val="21"/>
          <w:szCs w:val="21"/>
          <w:highlight w:val="none"/>
          <w:lang w:val="en-US"/>
        </w:rPr>
        <w:t>结算价款的（3%）留作质量保修金。在乙方按本合同约定履行质量保修义务的前提下，甲方于全部货物验收合格之日起届满二年且收到乙方提交的下述质量保修保函之后，甲方将剩余的质量保修金无息退还给乙方。如乙方未按本合同约定履行质量保修义务的，甲方有权不予或推迟向乙方退还质量保修金。甲方向乙方退还质量保修金前，乙方须向甲方提交质量保修承诺函（如质保期短于两年（含），则无需提供质量保修承诺函）。该质量保修承诺函的有效期为全部货物安装验收合格届满二年之日起</w:t>
      </w:r>
      <w:r>
        <w:rPr>
          <w:rFonts w:hint="eastAsia" w:hAnsi="宋体"/>
          <w:b w:val="0"/>
          <w:bCs w:val="0"/>
          <w:color w:val="auto"/>
          <w:sz w:val="21"/>
          <w:szCs w:val="21"/>
          <w:highlight w:val="none"/>
          <w:u w:val="single"/>
          <w:lang w:val="en-US"/>
        </w:rPr>
        <w:t xml:space="preserve">   </w:t>
      </w:r>
      <w:r>
        <w:rPr>
          <w:rFonts w:hint="eastAsia" w:hAnsi="宋体"/>
          <w:b w:val="0"/>
          <w:bCs w:val="0"/>
          <w:color w:val="auto"/>
          <w:sz w:val="21"/>
          <w:szCs w:val="21"/>
          <w:highlight w:val="none"/>
          <w:lang w:val="en-US"/>
        </w:rPr>
        <w:t>年。</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lang w:val="en-US" w:eastAsia="zh-CN"/>
        </w:rPr>
        <w:t>6、</w:t>
      </w:r>
      <w:r>
        <w:rPr>
          <w:rFonts w:hint="eastAsia"/>
          <w:color w:val="auto"/>
          <w:sz w:val="21"/>
          <w:szCs w:val="21"/>
          <w:highlight w:val="none"/>
        </w:rPr>
        <w:t>乙方在履行本合同过程中造成其人员或第三人人身、财产损害的，由其自行处理和承担赔偿责任，与甲方无关，乙方不得因此影响本合同的履行。</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7、</w:t>
      </w:r>
      <w:r>
        <w:rPr>
          <w:rFonts w:hint="eastAsia"/>
          <w:color w:val="auto"/>
          <w:sz w:val="21"/>
          <w:szCs w:val="21"/>
          <w:highlight w:val="none"/>
        </w:rPr>
        <w:t>甲方根据项目要求增加其他必要条款：</w:t>
      </w:r>
      <w:r>
        <w:rPr>
          <w:rFonts w:hint="eastAsia"/>
          <w:color w:val="auto"/>
          <w:sz w:val="21"/>
          <w:szCs w:val="21"/>
          <w:highlight w:val="none"/>
          <w:u w:val="single"/>
        </w:rPr>
        <w:t xml:space="preserve">                </w:t>
      </w:r>
      <w:r>
        <w:rPr>
          <w:rFonts w:hint="eastAsia"/>
          <w:color w:val="auto"/>
          <w:sz w:val="21"/>
          <w:szCs w:val="21"/>
          <w:highlight w:val="none"/>
        </w:rPr>
        <w:t>。</w:t>
      </w:r>
    </w:p>
    <w:p>
      <w:pPr>
        <w:pStyle w:val="5"/>
        <w:bidi w:val="0"/>
        <w:rPr>
          <w:b/>
          <w:bCs/>
          <w:color w:val="auto"/>
          <w:highlight w:val="none"/>
        </w:rPr>
      </w:pPr>
      <w:r>
        <w:rPr>
          <w:rFonts w:hint="eastAsia"/>
          <w:b/>
          <w:bCs/>
          <w:color w:val="auto"/>
          <w:highlight w:val="none"/>
        </w:rPr>
        <w:t xml:space="preserve">三、合同一般条款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rPr>
        <w:t xml:space="preserve"> 定义本合同中的下列术语应解释为：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1.1“合同”系指甲乙双方签署的、合同格式中载明的甲乙双方所达成的协议， 包括所有的附件、附录、和构成合同的其它文件。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1.2“合同价”系指根据合同约定，乙方在完全履行合同义务后甲方应付给乙方的价格。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1.3 “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1.4 “验收”系指合同双方依据强制性的国家技术质量规范和合同约定，确认合同项下的货物符合合同规定的活动。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lang w:eastAsia="zh-CN"/>
        </w:rPr>
        <w:t>、</w:t>
      </w:r>
      <w:r>
        <w:rPr>
          <w:rFonts w:hint="eastAsia"/>
          <w:color w:val="auto"/>
          <w:sz w:val="21"/>
          <w:szCs w:val="21"/>
          <w:highlight w:val="none"/>
        </w:rPr>
        <w:t xml:space="preserve">技术规范 </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 xml:space="preserve">2.1 提交货物的技术规范应与采购文件规定的技术规范和其投标文件的技术规范相一致。若技术规范中无相应说明，则以国家有关部门最新颁布的相应标准及规范为准。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3 </w:t>
      </w:r>
      <w:r>
        <w:rPr>
          <w:rFonts w:hint="eastAsia"/>
          <w:color w:val="auto"/>
          <w:sz w:val="21"/>
          <w:szCs w:val="21"/>
          <w:highlight w:val="none"/>
          <w:lang w:eastAsia="zh-CN"/>
        </w:rPr>
        <w:t>、</w:t>
      </w:r>
      <w:r>
        <w:rPr>
          <w:rFonts w:hint="eastAsia"/>
          <w:color w:val="auto"/>
          <w:sz w:val="21"/>
          <w:szCs w:val="21"/>
          <w:highlight w:val="none"/>
        </w:rPr>
        <w:t xml:space="preserve">知识产权 </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 xml:space="preserve">3.1 乙方应保证甲方在使用该货物或其任何一部分时不受第三方提出的侵犯专利权、著作权、商标权和工业设计权等侵犯知识产权的起诉。如果任何第三方提出侵权指控，乙方须与第三方交涉并承担由此发生的一切责任、费用和经济赔偿，导致甲方不能使用成果的还应退还全部项目费用，并承担违约责任及赔偿因此给甲方造成的全部损失。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w:t>
      </w:r>
      <w:r>
        <w:rPr>
          <w:rFonts w:hint="eastAsia"/>
          <w:color w:val="auto"/>
          <w:sz w:val="21"/>
          <w:szCs w:val="21"/>
          <w:highlight w:val="none"/>
        </w:rPr>
        <w:t xml:space="preserve"> 包装要求、</w:t>
      </w:r>
      <w:r>
        <w:rPr>
          <w:rFonts w:hint="eastAsia"/>
          <w:bCs/>
          <w:color w:val="auto"/>
          <w:sz w:val="21"/>
          <w:szCs w:val="21"/>
          <w:highlight w:val="none"/>
        </w:rPr>
        <w:t xml:space="preserve">安装、调试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4.1 除合同另有约定外，乙方提供的全部货物，均应采用本行业通用的方式进行包装，且该包装应符合国家有关包装的</w:t>
      </w:r>
      <w:r>
        <w:rPr>
          <w:rFonts w:hint="eastAsia"/>
          <w:color w:val="auto"/>
          <w:highlight w:val="none"/>
        </w:rPr>
        <w:fldChar w:fldCharType="begin"/>
      </w:r>
      <w:r>
        <w:rPr>
          <w:rFonts w:hint="eastAsia"/>
          <w:color w:val="auto"/>
          <w:sz w:val="21"/>
          <w:szCs w:val="21"/>
          <w:highlight w:val="none"/>
        </w:rPr>
        <w:instrText xml:space="preserve"> HYPERLINK "http://www.chinalawedu.com/" \t "_blank" \o "法律" </w:instrText>
      </w:r>
      <w:r>
        <w:rPr>
          <w:rFonts w:hint="eastAsia"/>
          <w:color w:val="auto"/>
          <w:highlight w:val="none"/>
        </w:rPr>
        <w:fldChar w:fldCharType="separate"/>
      </w:r>
      <w:r>
        <w:rPr>
          <w:rStyle w:val="58"/>
          <w:rFonts w:hint="eastAsia"/>
          <w:color w:val="auto"/>
          <w:sz w:val="21"/>
          <w:szCs w:val="21"/>
          <w:highlight w:val="none"/>
        </w:rPr>
        <w:t>法律</w:t>
      </w:r>
      <w:r>
        <w:rPr>
          <w:rStyle w:val="58"/>
          <w:rFonts w:hint="eastAsia"/>
          <w:color w:val="auto"/>
          <w:sz w:val="21"/>
          <w:szCs w:val="21"/>
          <w:highlight w:val="none"/>
        </w:rPr>
        <w:fldChar w:fldCharType="end"/>
      </w:r>
      <w:r>
        <w:rPr>
          <w:rFonts w:hint="eastAsia"/>
          <w:color w:val="auto"/>
          <w:sz w:val="21"/>
          <w:szCs w:val="21"/>
          <w:highlight w:val="none"/>
        </w:rPr>
        <w:t>、</w:t>
      </w:r>
      <w:r>
        <w:rPr>
          <w:color w:val="auto"/>
          <w:highlight w:val="none"/>
        </w:rPr>
        <w:fldChar w:fldCharType="begin"/>
      </w:r>
      <w:r>
        <w:rPr>
          <w:color w:val="auto"/>
          <w:highlight w:val="none"/>
        </w:rPr>
        <w:instrText xml:space="preserve"> HYPERLINK "http://www.chinalawedu.com/falvfagui/" \t "_blank" \o "法规" </w:instrText>
      </w:r>
      <w:r>
        <w:rPr>
          <w:color w:val="auto"/>
          <w:highlight w:val="none"/>
        </w:rPr>
        <w:fldChar w:fldCharType="separate"/>
      </w:r>
      <w:r>
        <w:rPr>
          <w:rStyle w:val="58"/>
          <w:rFonts w:hint="eastAsia"/>
          <w:color w:val="auto"/>
          <w:sz w:val="21"/>
          <w:szCs w:val="21"/>
          <w:highlight w:val="none"/>
        </w:rPr>
        <w:t>法规</w:t>
      </w:r>
      <w:r>
        <w:rPr>
          <w:rStyle w:val="58"/>
          <w:rFonts w:hint="eastAsia"/>
          <w:color w:val="auto"/>
          <w:sz w:val="21"/>
          <w:szCs w:val="21"/>
          <w:highlight w:val="none"/>
        </w:rPr>
        <w:fldChar w:fldCharType="end"/>
      </w:r>
      <w:r>
        <w:rPr>
          <w:rFonts w:hint="eastAsia"/>
          <w:color w:val="auto"/>
          <w:sz w:val="21"/>
          <w:szCs w:val="21"/>
          <w:highlight w:val="none"/>
        </w:rPr>
        <w:t xml:space="preserve">的规定。包装应适应于远距离运输、防潮、防震、防锈和防粗暴装卸，确保货物安全无损，运抵现场。由于包装不善等非甲方原因所引起的货物锈蚀、损坏和损失均由乙方承担。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4.2 每件包装箱内应附一份详细装箱单、质量合格证、保修单。 </w:t>
      </w:r>
    </w:p>
    <w:p>
      <w:pPr>
        <w:pStyle w:val="47"/>
        <w:spacing w:before="0" w:beforeAutospacing="0" w:after="0" w:afterAutospacing="0" w:line="360" w:lineRule="auto"/>
        <w:ind w:firstLine="422" w:firstLineChars="200"/>
        <w:rPr>
          <w:b/>
          <w:color w:val="auto"/>
          <w:sz w:val="21"/>
          <w:szCs w:val="21"/>
          <w:highlight w:val="none"/>
        </w:rPr>
      </w:pPr>
      <w:r>
        <w:rPr>
          <w:rFonts w:hint="eastAsia"/>
          <w:b/>
          <w:color w:val="auto"/>
          <w:sz w:val="21"/>
          <w:szCs w:val="21"/>
          <w:highlight w:val="none"/>
        </w:rPr>
        <w:t>4.3安装、调试</w:t>
      </w:r>
      <w:r>
        <w:rPr>
          <w:rFonts w:hint="eastAsia"/>
          <w:color w:val="auto"/>
          <w:sz w:val="21"/>
          <w:szCs w:val="21"/>
          <w:highlight w:val="none"/>
        </w:rPr>
        <w:t xml:space="preserve"> </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4.3.1乙方负责货物的包装、运输、安装、调试等工作，并承担由此产生的所有费用，乙方负责到用户指定的地点进行安装、调试。</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4.3.2乙方应提交详细安装进度表。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4.3.3乙方应设安装负责人，负责安装协调管理工作。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4.3.4按国家相关施工验收规范进行，分阶段进行调试。</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4.3.5货物的安装、调试等项工作由乙方负责，但必须在甲方指定人员的参与下进行。调试的原始记录须经各方签字后作为验收的文件之一。乙方调试工作结束后，须向甲方提交调试原始记录等资料，经甲方书面确认调试合格之后，才可视为调试完成。</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4.3.6货物开始安装后，甲方可以抽样到市级以上专业部门进行环保检测，如果产品及格则进行验收，如果不及格甲方有权退货。（抽样费用由乙方承担。）</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5</w:t>
      </w:r>
      <w:r>
        <w:rPr>
          <w:rFonts w:hint="eastAsia"/>
          <w:color w:val="auto"/>
          <w:sz w:val="21"/>
          <w:szCs w:val="21"/>
          <w:highlight w:val="none"/>
          <w:lang w:eastAsia="zh-CN"/>
        </w:rPr>
        <w:t>、</w:t>
      </w:r>
      <w:r>
        <w:rPr>
          <w:rFonts w:hint="eastAsia"/>
          <w:color w:val="auto"/>
          <w:sz w:val="21"/>
          <w:szCs w:val="21"/>
          <w:highlight w:val="none"/>
        </w:rPr>
        <w:t xml:space="preserve"> 交货方式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5.1 乙方应按甲方指定时间和地点交货。</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6</w:t>
      </w:r>
      <w:r>
        <w:rPr>
          <w:rFonts w:hint="eastAsia"/>
          <w:color w:val="auto"/>
          <w:sz w:val="21"/>
          <w:szCs w:val="21"/>
          <w:highlight w:val="none"/>
          <w:lang w:eastAsia="zh-CN"/>
        </w:rPr>
        <w:t>、</w:t>
      </w:r>
      <w:r>
        <w:rPr>
          <w:rFonts w:hint="eastAsia"/>
          <w:color w:val="auto"/>
          <w:sz w:val="21"/>
          <w:szCs w:val="21"/>
          <w:highlight w:val="none"/>
        </w:rPr>
        <w:t xml:space="preserve">技术资料 </w:t>
      </w:r>
    </w:p>
    <w:p>
      <w:pPr>
        <w:pStyle w:val="47"/>
        <w:spacing w:before="0" w:beforeAutospacing="0" w:after="0" w:afterAutospacing="0" w:line="360" w:lineRule="auto"/>
        <w:ind w:firstLine="420" w:firstLineChars="200"/>
        <w:rPr>
          <w:color w:val="auto"/>
          <w:sz w:val="21"/>
          <w:szCs w:val="21"/>
          <w:highlight w:val="none"/>
          <w:u w:val="single"/>
        </w:rPr>
      </w:pPr>
      <w:r>
        <w:rPr>
          <w:rFonts w:hint="eastAsia"/>
          <w:color w:val="auto"/>
          <w:sz w:val="21"/>
          <w:szCs w:val="21"/>
          <w:highlight w:val="none"/>
        </w:rPr>
        <w:t>6.1本合同技术资料（除合同主要条款规定外）将以下方式交付：</w:t>
      </w:r>
      <w:r>
        <w:rPr>
          <w:rFonts w:hint="eastAsia"/>
          <w:color w:val="auto"/>
          <w:sz w:val="21"/>
          <w:szCs w:val="21"/>
          <w:highlight w:val="none"/>
          <w:u w:val="single"/>
        </w:rPr>
        <w:t xml:space="preserve">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乙方在申请竣工验收之前，须提交竣工验收申请资料，竣工验收合格，提交完整的竣工资料（含光盘）给甲方检查存档，同步办理结算（结算资料含光盘）。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6.2乙方所提供货物必须符合国家有关规范和环保要求及甲方的技术要求，并提供货物的出厂测试报告及合格证，进口产品必须具备原产地证明或商检部门的检验证明及合法进货渠道证明。</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7 </w:t>
      </w:r>
      <w:r>
        <w:rPr>
          <w:rFonts w:hint="eastAsia"/>
          <w:color w:val="auto"/>
          <w:sz w:val="21"/>
          <w:szCs w:val="21"/>
          <w:highlight w:val="none"/>
          <w:lang w:eastAsia="zh-CN"/>
        </w:rPr>
        <w:t>、</w:t>
      </w:r>
      <w:r>
        <w:rPr>
          <w:rFonts w:hint="eastAsia"/>
          <w:color w:val="auto"/>
          <w:sz w:val="21"/>
          <w:szCs w:val="21"/>
          <w:highlight w:val="none"/>
        </w:rPr>
        <w:t xml:space="preserve">质量保证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7.1 乙方所供货物必须是原装、全新的产品，并且符合国家以及该产品的出厂标准。</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7.2 乙方所供货物必须使用环保材料并符合国家环保要求及标准。</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7.3 所有货物在开箱检验时必须完好，无破损，配置与装箱单相符。数量、质量及性能不低于采购文件需求书中提出的要求。</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7.4 货物外观清洁，标记编号以及盘面显示等字体清晰，明确。</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7.5 对于影响货物正常工作的必要组成部分，无论在技术规范中指出与否，乙方都应提供并在投标文件中明确列出。</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7.6 乙方在实际供货时，若被发现提供的货物未能达到采购文件和投标文件中的有关要求，甲方应以书面形式通知乙方责令整改。在甲方要求乙方整改之日起5日内仍无实质性改进的，甲方将按合同违约条款对乙方进行处罚。</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7.7 乙方应保证主要材料零部件产地符合用户需求书的有关规定，所有主要材料零部件必须能提供原产地证明、出厂检验报告、完税证明。任何时候，甲方发现产地不符合要求，乙方应无偿更换或负进一步责任。</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7.8 货物验收合格后，免费保修期为2年（有更高要求的遵循更高要求），时间自货物最终验收合格并交付使用之日起计算，个别货物在采购货物清单内有具体要求保修方式的以该要求为准，人为因素损坏除外。</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7.9 免费保修期内非人为原因损坏、失效或已达到报废标准的零部件除无偿更换外，对更换上的零部件还应有继续两年的免费保修期。凡因产品质量问题，在保修期内若设备经检修后又在同一部件出现相同质量故障，可无偿更换不低于原设备档次的新设备部件。</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7.10质保期内非甲方/用户的人为原因而出现产品质量及安装问题，由乙方负责包修、包换或包退，并承担因此而产生的一切费用。</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7.11 除“合同主要条款”规定外，合同项下货物的质量保证期为自货物通过最终验收之日起两年，水电表及其他主要设备保质期按招标文件及中标结果确定。</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8 </w:t>
      </w:r>
      <w:r>
        <w:rPr>
          <w:rFonts w:hint="eastAsia"/>
          <w:color w:val="auto"/>
          <w:sz w:val="21"/>
          <w:szCs w:val="21"/>
          <w:highlight w:val="none"/>
          <w:lang w:eastAsia="zh-CN"/>
        </w:rPr>
        <w:t>、</w:t>
      </w:r>
      <w:r>
        <w:rPr>
          <w:rFonts w:hint="eastAsia"/>
          <w:color w:val="auto"/>
          <w:sz w:val="21"/>
          <w:szCs w:val="21"/>
          <w:highlight w:val="none"/>
        </w:rPr>
        <w:t xml:space="preserve">检验和验收、售后服务要求 </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8.1 验收工作由甲方（或甲方指定的单位）和乙方共同进行。</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8.2 验收的项目指标、方法和检测仪器等原则上由乙方在验收开始前5个工作日提交甲方。甲方可以根据技术规范书和国家有关标准进行修改和补充，经双方确认后作为验收的依据。</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8.3 验收以甲方技术人员为主，乙方提供技术支援，对在测试中发现的技术问题双方记录，完成测试后，双方签署终验测试报告。</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8.4 在验收前，乙方应向甲方提供货物的出厂合格证书、出厂检测报告、厂家装箱清单、使用说明、操作手册、随机附件及其他相关资料。</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8.5 由甲方对货物的质量、规格、数量和运行状况及其他进行检验。如发现质量、规格、数量和运行状况等任何一项与采购要求规定不符，甲方有权拒绝验收。</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8.6 如因乙方的货物质量原因而影响安装工期，则工期每影响24小时罚款</w:t>
      </w:r>
      <w:r>
        <w:rPr>
          <w:rFonts w:hint="eastAsia"/>
          <w:color w:val="auto"/>
          <w:sz w:val="21"/>
          <w:szCs w:val="21"/>
          <w:highlight w:val="none"/>
          <w:lang w:val="en-US" w:eastAsia="zh-CN"/>
        </w:rPr>
        <w:t>2000</w:t>
      </w:r>
      <w:r>
        <w:rPr>
          <w:rFonts w:hint="eastAsia"/>
          <w:color w:val="auto"/>
          <w:sz w:val="21"/>
          <w:szCs w:val="21"/>
          <w:highlight w:val="none"/>
        </w:rPr>
        <w:t>元。</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8.7如因乙方的技术原因，导致某情况下某设备不能正常使用而影响调试进度，罚款不少于</w:t>
      </w:r>
      <w:r>
        <w:rPr>
          <w:rFonts w:hint="eastAsia"/>
          <w:color w:val="auto"/>
          <w:sz w:val="21"/>
          <w:szCs w:val="21"/>
          <w:highlight w:val="none"/>
          <w:lang w:val="en-US" w:eastAsia="zh-CN"/>
        </w:rPr>
        <w:t>2000</w:t>
      </w:r>
      <w:r>
        <w:rPr>
          <w:rFonts w:hint="eastAsia"/>
          <w:color w:val="auto"/>
          <w:sz w:val="21"/>
          <w:szCs w:val="21"/>
          <w:highlight w:val="none"/>
        </w:rPr>
        <w:t>元/每（套）。</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8.8以上出现的问题，除了罚款外，均由乙方按照甲方限定的合理时间内免费负责处理（包括缺陷处理、更换新部件备件或货物）。</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8.9售后服务</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8.9.1免费保修期内：</w:t>
      </w:r>
    </w:p>
    <w:p>
      <w:pPr>
        <w:pStyle w:val="195"/>
        <w:snapToGrid w:val="0"/>
        <w:spacing w:before="0" w:beforeAutospacing="0" w:after="0" w:afterAutospacing="0" w:line="360" w:lineRule="auto"/>
        <w:ind w:firstLine="420"/>
        <w:rPr>
          <w:rStyle w:val="196"/>
          <w:color w:val="auto"/>
          <w:sz w:val="21"/>
          <w:szCs w:val="21"/>
          <w:highlight w:val="none"/>
        </w:rPr>
      </w:pPr>
      <w:r>
        <w:rPr>
          <w:rStyle w:val="196"/>
          <w:rFonts w:hint="eastAsia"/>
          <w:color w:val="auto"/>
          <w:sz w:val="21"/>
          <w:szCs w:val="21"/>
          <w:highlight w:val="none"/>
        </w:rPr>
        <w:t>（1）故障响应时间：</w:t>
      </w:r>
      <w:r>
        <w:rPr>
          <w:rStyle w:val="196"/>
          <w:rFonts w:hint="eastAsia"/>
          <w:color w:val="auto"/>
          <w:sz w:val="21"/>
          <w:szCs w:val="21"/>
          <w:highlight w:val="none"/>
          <w:lang w:val="en-US"/>
        </w:rPr>
        <w:t>质保期内需提供5把门锁作为应急备用使用。</w:t>
      </w:r>
      <w:r>
        <w:rPr>
          <w:rStyle w:val="196"/>
          <w:rFonts w:hint="eastAsia"/>
          <w:color w:val="auto"/>
          <w:sz w:val="21"/>
          <w:szCs w:val="21"/>
          <w:highlight w:val="none"/>
        </w:rPr>
        <w:t>质保期内，货物出现质量问题，接到质量问题通知后2个小时内到场处理，6个小时内修复，如无法修复提供相应规格的货物供甲方替代使用；其他服务承诺在磋商响应文件中说明。</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（2）如果货物不能稳定地达到</w:t>
      </w:r>
      <w:r>
        <w:rPr>
          <w:rFonts w:hint="eastAsia"/>
          <w:color w:val="auto"/>
          <w:sz w:val="21"/>
          <w:szCs w:val="21"/>
          <w:highlight w:val="none"/>
          <w:lang w:val="en-US" w:eastAsia="zh-CN"/>
        </w:rPr>
        <w:t>乙方</w:t>
      </w:r>
      <w:r>
        <w:rPr>
          <w:rFonts w:hint="eastAsia"/>
          <w:color w:val="auto"/>
          <w:sz w:val="21"/>
          <w:szCs w:val="21"/>
          <w:highlight w:val="none"/>
        </w:rPr>
        <w:t>承诺的全部功能，</w:t>
      </w:r>
      <w:r>
        <w:rPr>
          <w:rFonts w:hint="eastAsia"/>
          <w:color w:val="auto"/>
          <w:sz w:val="21"/>
          <w:szCs w:val="21"/>
          <w:highlight w:val="none"/>
          <w:lang w:val="en-US" w:eastAsia="zh-CN"/>
        </w:rPr>
        <w:t>乙方</w:t>
      </w:r>
      <w:r>
        <w:rPr>
          <w:rFonts w:hint="eastAsia"/>
          <w:color w:val="auto"/>
          <w:sz w:val="21"/>
          <w:szCs w:val="21"/>
          <w:highlight w:val="none"/>
        </w:rPr>
        <w:t>应对此承担责任并承担全部相关费用以及甲方的直接损失，经甲方同意对货物采用如下一种或几种方式处理：1.免费维修和更换损坏零部件；2.换货；3.降价，但不免除其它正常部分的质量保证责任。如</w:t>
      </w:r>
      <w:r>
        <w:rPr>
          <w:rFonts w:hint="eastAsia"/>
          <w:color w:val="auto"/>
          <w:sz w:val="21"/>
          <w:szCs w:val="21"/>
          <w:highlight w:val="none"/>
          <w:lang w:val="en-US" w:eastAsia="zh-CN"/>
        </w:rPr>
        <w:t>乙方</w:t>
      </w:r>
      <w:r>
        <w:rPr>
          <w:rFonts w:hint="eastAsia"/>
          <w:color w:val="auto"/>
          <w:sz w:val="21"/>
          <w:szCs w:val="21"/>
          <w:highlight w:val="none"/>
        </w:rPr>
        <w:t>未能在合理的时间内将产品维修、更换或修正以符合规格，甲方有权在合理时间内将产品退回后要求返还已付的价款。</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8.9.2质保期后：提供技术支持和详细的售后服务计划，</w:t>
      </w:r>
      <w:r>
        <w:rPr>
          <w:rFonts w:hint="eastAsia"/>
          <w:color w:val="auto"/>
          <w:sz w:val="21"/>
          <w:szCs w:val="21"/>
          <w:highlight w:val="none"/>
          <w:lang w:val="en-US" w:eastAsia="zh-CN"/>
        </w:rPr>
        <w:t>乙方</w:t>
      </w:r>
      <w:r>
        <w:rPr>
          <w:rFonts w:hint="eastAsia"/>
          <w:color w:val="auto"/>
          <w:sz w:val="21"/>
          <w:szCs w:val="21"/>
          <w:highlight w:val="none"/>
        </w:rPr>
        <w:t>按其在东莞地区同类产品的最优惠价格提供保修服务，终身保证配品配件的供应，更换配件的费用以成本计。门锁管理平台终身免费使用并提供升级服务。</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8.9.3售后服务机构：设有</w:t>
      </w:r>
      <w:r>
        <w:rPr>
          <w:rFonts w:hint="eastAsia"/>
          <w:color w:val="auto"/>
          <w:sz w:val="21"/>
          <w:szCs w:val="21"/>
          <w:highlight w:val="none"/>
          <w:lang w:val="en-US" w:eastAsia="zh-CN"/>
        </w:rPr>
        <w:t>固定额的维修点或</w:t>
      </w:r>
      <w:r>
        <w:rPr>
          <w:rFonts w:hint="eastAsia"/>
          <w:color w:val="auto"/>
          <w:sz w:val="21"/>
          <w:szCs w:val="21"/>
          <w:highlight w:val="none"/>
        </w:rPr>
        <w:t>售后服务机构，具有提供日常维护和技术支持的能力，能提供正常的技术、备品备件、服务等；须提机构名称、人员情况、办公地址、联系电话。</w:t>
      </w:r>
    </w:p>
    <w:p>
      <w:pPr>
        <w:pStyle w:val="47"/>
        <w:spacing w:before="0" w:beforeAutospacing="0" w:after="0" w:afterAutospacing="0" w:line="360" w:lineRule="auto"/>
        <w:ind w:firstLine="420"/>
        <w:rPr>
          <w:color w:val="auto"/>
          <w:sz w:val="21"/>
          <w:szCs w:val="21"/>
          <w:highlight w:val="none"/>
        </w:rPr>
      </w:pPr>
      <w:r>
        <w:rPr>
          <w:rFonts w:hint="eastAsia"/>
          <w:color w:val="auto"/>
          <w:sz w:val="21"/>
          <w:szCs w:val="21"/>
          <w:highlight w:val="none"/>
        </w:rPr>
        <w:t>8.9.4培训：负责免费对用户人员进行培训，提供详细的培训计划，使其掌握操作使用等基本技能。</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9 </w:t>
      </w:r>
      <w:r>
        <w:rPr>
          <w:rFonts w:hint="eastAsia"/>
          <w:color w:val="auto"/>
          <w:sz w:val="21"/>
          <w:szCs w:val="21"/>
          <w:highlight w:val="none"/>
          <w:lang w:eastAsia="zh-CN"/>
        </w:rPr>
        <w:t>、</w:t>
      </w:r>
      <w:r>
        <w:rPr>
          <w:rFonts w:hint="eastAsia"/>
          <w:color w:val="auto"/>
          <w:sz w:val="21"/>
          <w:szCs w:val="21"/>
          <w:highlight w:val="none"/>
        </w:rPr>
        <w:t xml:space="preserve">索赔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9.1 如果货物的质量、规格、数量、重量等与合同不符，或在合同约定的质量保证期内证实货物存有缺陷，包括潜在的缺陷或使用不符合要求的材料等，甲方有权向乙方提出索赔（索赔金额不低于合同总价5%）。乙方应在甲方提出索赔要求后三日内，进行无偿修理、更换、赔款。如乙方未在规定时间内处理的，甲方有权自行安排修理、更换，由此产生的一切费用和风险由乙方承担且乙方仍需承担质量保修责任。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9.2 在根据合同规定的检验期和质量保证期内，如果乙方对甲方提出的索赔负有责任，乙方应按照甲方同意的方式解决索赔事宜，或由双方协商处理。</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9.3 如果在甲方发出索赔通知后</w:t>
      </w:r>
      <w:r>
        <w:rPr>
          <w:rFonts w:hint="eastAsia"/>
          <w:color w:val="auto"/>
          <w:sz w:val="21"/>
          <w:szCs w:val="21"/>
          <w:highlight w:val="none"/>
          <w:u w:val="single"/>
        </w:rPr>
        <w:t xml:space="preserve">    </w:t>
      </w:r>
      <w:r>
        <w:rPr>
          <w:rFonts w:hint="eastAsia"/>
          <w:color w:val="auto"/>
          <w:sz w:val="21"/>
          <w:szCs w:val="21"/>
          <w:highlight w:val="none"/>
        </w:rPr>
        <w:t>天内，乙方未作答复，上述索赔要求应视为已被乙方接受。如乙方未能在甲方提出索赔通知后</w:t>
      </w:r>
      <w:r>
        <w:rPr>
          <w:rFonts w:hint="eastAsia"/>
          <w:color w:val="auto"/>
          <w:sz w:val="21"/>
          <w:szCs w:val="21"/>
          <w:highlight w:val="none"/>
          <w:u w:val="single"/>
        </w:rPr>
        <w:t xml:space="preserve">    </w:t>
      </w:r>
      <w:r>
        <w:rPr>
          <w:rFonts w:hint="eastAsia"/>
          <w:color w:val="auto"/>
          <w:sz w:val="21"/>
          <w:szCs w:val="21"/>
          <w:highlight w:val="none"/>
        </w:rPr>
        <w:t>天内或甲方同意的更长时间内，按照本合同规定的方法解决索赔事宜，甲方将从合同款或从乙方开具的履约保证金保函中扣回索赔金额。如果这些金额不足以补偿索赔金额，甲方有权向乙方提出不足部分的补偿。</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9.4 本合同所述之损失、经济赔偿是指甲方因乙方原因而造成的经济损失、因此而向第三方支付的赔偿金、违约金、因此而支付的诉讼费、律师费、公证费、鉴定费、保全费等全部费用。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10 </w:t>
      </w:r>
      <w:r>
        <w:rPr>
          <w:rFonts w:hint="eastAsia"/>
          <w:color w:val="auto"/>
          <w:sz w:val="21"/>
          <w:szCs w:val="21"/>
          <w:highlight w:val="none"/>
          <w:lang w:eastAsia="zh-CN"/>
        </w:rPr>
        <w:t>、</w:t>
      </w:r>
      <w:r>
        <w:rPr>
          <w:rFonts w:hint="eastAsia"/>
          <w:color w:val="auto"/>
          <w:sz w:val="21"/>
          <w:szCs w:val="21"/>
          <w:highlight w:val="none"/>
        </w:rPr>
        <w:t xml:space="preserve">迟延交货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10.1 乙方应按照甲方规定的时间交货和提供服务。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10.2 如果乙方无正当理由迟延交货，甲方有权提出违约损失赔偿或解除合同。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10.3 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11 </w:t>
      </w:r>
      <w:r>
        <w:rPr>
          <w:rFonts w:hint="eastAsia"/>
          <w:color w:val="auto"/>
          <w:sz w:val="21"/>
          <w:szCs w:val="21"/>
          <w:highlight w:val="none"/>
          <w:lang w:eastAsia="zh-CN"/>
        </w:rPr>
        <w:t>、</w:t>
      </w:r>
      <w:r>
        <w:rPr>
          <w:rFonts w:hint="eastAsia"/>
          <w:color w:val="auto"/>
          <w:sz w:val="21"/>
          <w:szCs w:val="21"/>
          <w:highlight w:val="none"/>
        </w:rPr>
        <w:t xml:space="preserve">违约赔偿 </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11.1甲方无正当理由拒收货物，拒付货款的，甲方向乙方偿付货物总金额5%的违约金。</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11.2如果由于甲方未按乙方所提供的技术资料、图纸、说明书和乙方现场技术服务人员的指导而造成货物损坏的，由甲方负责。但乙方有义务尽快提供所需要更换的货物。对于甲方要求的紧急部件，乙方应安排最快的方式运输，所有费用均由甲方负担。</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11.3乙方的投标文件为响应本合同的重要依据之一，履行合同时，如与其在投标时承诺响应的实质性内容有偏离或无法履行的，乙方应向甲方支付合同价格20%的违约金并赔偿甲方因此遭受的所有损失，并责令乙方限期整改。甲方要求其整改之日起5日内仍无实质性改进的，甲方有权单方面解除合同，合同因此解除的，乙方应退还甲方已支付的合同价格（如有）。</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11.4 除合同规定外，如果乙方没有按照合同规定的时间提供质量合格的货物和服务，甲方可要求乙方支付违约金。从逾期之日起每日按本合同总价的</w:t>
      </w:r>
      <w:r>
        <w:rPr>
          <w:rFonts w:hint="eastAsia"/>
          <w:color w:val="auto"/>
          <w:sz w:val="21"/>
          <w:szCs w:val="21"/>
          <w:highlight w:val="none"/>
          <w:u w:val="single"/>
        </w:rPr>
        <w:t xml:space="preserve"> 2 </w:t>
      </w:r>
      <w:r>
        <w:rPr>
          <w:rFonts w:hint="eastAsia"/>
          <w:color w:val="auto"/>
          <w:sz w:val="21"/>
          <w:szCs w:val="21"/>
          <w:highlight w:val="none"/>
        </w:rPr>
        <w:t>‰数额向甲方支付违约金；逾期30天以上（含30天）的，甲方有权解除合同，并且乙方应向甲方双倍返还定金，并且给甲方造成的经济损失由乙方承担赔偿责任。</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11.5因乙方原因导致本合同解除或是无法履行的，乙方应向甲方双倍返还定金，且甲方有权决定是否接收属于乙方在现场的一切产品使用于本项目，并有进一步要求向乙方索赔的权利。双倍定金不足以弥补甲方损失的，乙方应另行补足。</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11.6如乙方对合同敷衍执行，或忽视履行合同规定的实质性义务，且从甲方要求其整改之日起5日内仍无实质性改进，甲方有权解除合同，乙方应退还甲方已支付的合同价格（如有），向甲方支付合同价格20%的违约金并赔偿甲方因此遭受的所有损失。</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11.7因乙方原因造成合同终止或解除，乙方应退还甲方已支付的合同价格（如有），乙方应在接到甲方离场通知的5日内无条件撤离现场，否则每逾期一日应向甲方支付人民币10000元的违约金，并赔偿甲方的损失。</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11.8乙方违约或乙方任何其他原因造成甲方损失及/或甲方被追索的及/或承担责任的，甲方均有权拒付全部或部分价款，有权直接从合同价款扣除乙方应支付甲方的违约金、赔偿金。</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11.9在本合同约定的相应履行期限届满之前，乙方明确表示或者以自己的行为表明不履行合同义务的，甲方有权解除本合同。合同因此解除的，乙方应退还甲方已支付的合同价格（如有），向甲方支付合同价格20%的违约金并赔偿甲方因此遭受的所有损失。</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 xml:space="preserve">11.10甲方有权从未支付的款项或是履约保证金中直接扣除乙方的违约金，不足的部分由乙方另行补足。 </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11.11除非因乙方违约致甲方按照本合同的约定单方解除合同或双方协议将合同解除，违约方承担前述违约责任后仍必须履行合同。</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11.12本合同下，双方对违约责任未明确约定的，相关违约责任按合同法及其他法律法规的有关规定执行。本合同项下约定的甲方遭受的损失包括但不限于因乙方违约而使甲方遭受的因减少或迟延运营所遭受的收入损失，向第三方支付的费用、赔偿金，因此而支付的诉讼费、律师费、公证费、鉴定费、保全费等全部费用。</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12</w:t>
      </w:r>
      <w:r>
        <w:rPr>
          <w:rFonts w:hint="eastAsia"/>
          <w:color w:val="auto"/>
          <w:sz w:val="21"/>
          <w:szCs w:val="21"/>
          <w:highlight w:val="none"/>
          <w:lang w:eastAsia="zh-CN"/>
        </w:rPr>
        <w:t>、</w:t>
      </w:r>
      <w:r>
        <w:rPr>
          <w:rFonts w:hint="eastAsia"/>
          <w:color w:val="auto"/>
          <w:sz w:val="21"/>
          <w:szCs w:val="21"/>
          <w:highlight w:val="none"/>
        </w:rPr>
        <w:t xml:space="preserve"> 不可抗力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12.1 如果双方中任何一方遭遇法律规定的不可抗力，致使合同履行受阻时，履行合同的期限应予延长，延长的期限应相当于不可抗力所影响的时间。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12.2 受事故影响的一方应在不可抗力的事故发生后尽快书面形式通知另一方，并在事故发生后</w:t>
      </w:r>
      <w:r>
        <w:rPr>
          <w:rFonts w:hint="eastAsia"/>
          <w:color w:val="auto"/>
          <w:sz w:val="21"/>
          <w:szCs w:val="21"/>
          <w:highlight w:val="none"/>
          <w:u w:val="single"/>
        </w:rPr>
        <w:t xml:space="preserve">   </w:t>
      </w:r>
      <w:r>
        <w:rPr>
          <w:rFonts w:hint="eastAsia"/>
          <w:color w:val="auto"/>
          <w:sz w:val="21"/>
          <w:szCs w:val="21"/>
          <w:highlight w:val="none"/>
        </w:rPr>
        <w:t xml:space="preserve">天内，将有关部门出具的证明文件送达另一方。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12.3 不可抗力使合同的某些内容有变更必要的，合同签订双方应通过协商在</w:t>
      </w:r>
      <w:r>
        <w:rPr>
          <w:rFonts w:hint="eastAsia"/>
          <w:color w:val="auto"/>
          <w:sz w:val="21"/>
          <w:szCs w:val="21"/>
          <w:highlight w:val="none"/>
          <w:u w:val="single"/>
        </w:rPr>
        <w:t xml:space="preserve">   </w:t>
      </w:r>
      <w:r>
        <w:rPr>
          <w:rFonts w:hint="eastAsia"/>
          <w:color w:val="auto"/>
          <w:sz w:val="21"/>
          <w:szCs w:val="21"/>
          <w:highlight w:val="none"/>
        </w:rPr>
        <w:t xml:space="preserve">日内达成进一步履行合同的协议，因不可抗力致使合同不能履行的，合同终止。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13</w:t>
      </w:r>
      <w:r>
        <w:rPr>
          <w:rFonts w:hint="eastAsia"/>
          <w:color w:val="auto"/>
          <w:sz w:val="21"/>
          <w:szCs w:val="21"/>
          <w:highlight w:val="none"/>
          <w:lang w:eastAsia="zh-CN"/>
        </w:rPr>
        <w:t>、</w:t>
      </w:r>
      <w:r>
        <w:rPr>
          <w:rFonts w:hint="eastAsia"/>
          <w:color w:val="auto"/>
          <w:sz w:val="21"/>
          <w:szCs w:val="21"/>
          <w:highlight w:val="none"/>
        </w:rPr>
        <w:t xml:space="preserve">税费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13.1 与本合同有关的一切税费均适用中华人民共和国法律的相关规定。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14 </w:t>
      </w:r>
      <w:r>
        <w:rPr>
          <w:rFonts w:hint="eastAsia"/>
          <w:color w:val="auto"/>
          <w:sz w:val="21"/>
          <w:szCs w:val="21"/>
          <w:highlight w:val="none"/>
          <w:lang w:eastAsia="zh-CN"/>
        </w:rPr>
        <w:t>、</w:t>
      </w:r>
      <w:r>
        <w:rPr>
          <w:rFonts w:hint="eastAsia"/>
          <w:color w:val="auto"/>
          <w:sz w:val="21"/>
          <w:szCs w:val="21"/>
          <w:highlight w:val="none"/>
        </w:rPr>
        <w:t xml:space="preserve">合同争议的解决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14.1 因合同履行中发生的争议，可通过合同当事人双方友好协商解决。如自协商开始之起15日内得不到解决，可向甲方所在地有管辖权的人</w:t>
      </w:r>
      <w:r>
        <w:rPr>
          <w:rFonts w:hint="eastAsia"/>
          <w:color w:val="auto"/>
          <w:highlight w:val="none"/>
        </w:rPr>
        <w:fldChar w:fldCharType="begin"/>
      </w:r>
      <w:r>
        <w:rPr>
          <w:rFonts w:hint="eastAsia"/>
          <w:color w:val="auto"/>
          <w:sz w:val="21"/>
          <w:szCs w:val="21"/>
          <w:highlight w:val="none"/>
        </w:rPr>
        <w:instrText xml:space="preserve"> HYPERLINK "http://www.chinalawedu.com/web/23243/" \t "_blank" \o "民法" </w:instrText>
      </w:r>
      <w:r>
        <w:rPr>
          <w:rFonts w:hint="eastAsia"/>
          <w:color w:val="auto"/>
          <w:highlight w:val="none"/>
        </w:rPr>
        <w:fldChar w:fldCharType="separate"/>
      </w:r>
      <w:r>
        <w:rPr>
          <w:rStyle w:val="58"/>
          <w:rFonts w:hint="eastAsia"/>
          <w:color w:val="auto"/>
          <w:sz w:val="21"/>
          <w:szCs w:val="21"/>
          <w:highlight w:val="none"/>
        </w:rPr>
        <w:t>民法</w:t>
      </w:r>
      <w:r>
        <w:rPr>
          <w:rStyle w:val="58"/>
          <w:rFonts w:hint="eastAsia"/>
          <w:color w:val="auto"/>
          <w:sz w:val="21"/>
          <w:szCs w:val="21"/>
          <w:highlight w:val="none"/>
        </w:rPr>
        <w:fldChar w:fldCharType="end"/>
      </w:r>
      <w:r>
        <w:rPr>
          <w:rFonts w:hint="eastAsia"/>
          <w:color w:val="auto"/>
          <w:sz w:val="21"/>
          <w:szCs w:val="21"/>
          <w:highlight w:val="none"/>
        </w:rPr>
        <w:t xml:space="preserve">院提起诉讼。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15 </w:t>
      </w:r>
      <w:r>
        <w:rPr>
          <w:rFonts w:hint="eastAsia"/>
          <w:color w:val="auto"/>
          <w:sz w:val="21"/>
          <w:szCs w:val="21"/>
          <w:highlight w:val="none"/>
          <w:lang w:eastAsia="zh-CN"/>
        </w:rPr>
        <w:t>、</w:t>
      </w:r>
      <w:r>
        <w:rPr>
          <w:rFonts w:hint="eastAsia"/>
          <w:color w:val="auto"/>
          <w:sz w:val="21"/>
          <w:szCs w:val="21"/>
          <w:highlight w:val="none"/>
        </w:rPr>
        <w:t xml:space="preserve">违约解除合同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15.1 在乙方违约的情况下，甲方可向乙方发出书面通知，部分或全部终止合同。同时保留向乙方追诉的权利。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15.2全部或部分解除合同之后，应当遵循诚实信用原则，购买未予交付的货物类似的货物或服务。乙方应承担甲方购买类似货物或服务而产生的额外支出。部分解除合同的，乙方应继续履行合同中未解除的部分。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16</w:t>
      </w:r>
      <w:r>
        <w:rPr>
          <w:rFonts w:hint="eastAsia"/>
          <w:color w:val="auto"/>
          <w:sz w:val="21"/>
          <w:szCs w:val="21"/>
          <w:highlight w:val="none"/>
          <w:lang w:eastAsia="zh-CN"/>
        </w:rPr>
        <w:t>、</w:t>
      </w:r>
      <w:r>
        <w:rPr>
          <w:rFonts w:hint="eastAsia"/>
          <w:color w:val="auto"/>
          <w:sz w:val="21"/>
          <w:szCs w:val="21"/>
          <w:highlight w:val="none"/>
        </w:rPr>
        <w:t xml:space="preserve">破产终止合同 </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 xml:space="preserve">16.1 如果乙方破产或无清偿能力时，甲方可在任何时候以书面通知乙方，提出终止合同而不给乙方补偿。该合同的终止将不损害或不影响甲方已经采取或将要采取任何行动或补救措施的权利。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17 </w:t>
      </w:r>
      <w:r>
        <w:rPr>
          <w:rFonts w:hint="eastAsia"/>
          <w:color w:val="auto"/>
          <w:sz w:val="21"/>
          <w:szCs w:val="21"/>
          <w:highlight w:val="none"/>
          <w:lang w:eastAsia="zh-CN"/>
        </w:rPr>
        <w:t>、</w:t>
      </w:r>
      <w:r>
        <w:rPr>
          <w:rFonts w:hint="eastAsia"/>
          <w:color w:val="auto"/>
          <w:sz w:val="21"/>
          <w:szCs w:val="21"/>
          <w:highlight w:val="none"/>
        </w:rPr>
        <w:t xml:space="preserve">转让和分包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17.1 合同不能转让。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17.3甲方和乙方都不得擅自变更本合同，但合同继续履行将损害国家和社会公共利益的除外。如必须对合同条款进行改动时，当事人双方须共同签署书面文件，作为合同的补充。</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17.4乙方擅自转让本合同或是未经甲方书面同意将合同项下非主体、非关键性工作分包给他人的，甲方有权立即解除本合同，同时要求乙方支付合同总价20%的违约金，违约金不足以弥补甲方损失，甲方有权继续向乙方追索。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18</w:t>
      </w:r>
      <w:r>
        <w:rPr>
          <w:rFonts w:hint="eastAsia"/>
          <w:color w:val="auto"/>
          <w:sz w:val="21"/>
          <w:szCs w:val="21"/>
          <w:highlight w:val="none"/>
          <w:lang w:eastAsia="zh-CN"/>
        </w:rPr>
        <w:t>、</w:t>
      </w:r>
      <w:r>
        <w:rPr>
          <w:rFonts w:hint="eastAsia"/>
          <w:color w:val="auto"/>
          <w:sz w:val="21"/>
          <w:szCs w:val="21"/>
          <w:highlight w:val="none"/>
        </w:rPr>
        <w:t xml:space="preserve"> 计量单位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18.1 各项计量单位与货物清单对应项计量单位一致。 </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 xml:space="preserve">19 </w:t>
      </w:r>
      <w:r>
        <w:rPr>
          <w:rFonts w:hint="eastAsia"/>
          <w:color w:val="auto"/>
          <w:sz w:val="21"/>
          <w:szCs w:val="21"/>
          <w:highlight w:val="none"/>
          <w:lang w:eastAsia="zh-CN"/>
        </w:rPr>
        <w:t>、</w:t>
      </w:r>
      <w:r>
        <w:rPr>
          <w:rFonts w:hint="eastAsia"/>
          <w:color w:val="auto"/>
          <w:sz w:val="21"/>
          <w:szCs w:val="21"/>
          <w:highlight w:val="none"/>
        </w:rPr>
        <w:t xml:space="preserve">合同生效和其它 </w:t>
      </w:r>
    </w:p>
    <w:p>
      <w:pPr>
        <w:pStyle w:val="47"/>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 xml:space="preserve">19.1 采购项目的采购合同内容的确定应以采购文件和投标文件为基础，不得违背其实质性内容。采购项目的采购合同自签订之日起七个工作日内，甲方应当将合同副本报有关部门备案。合同将在双方签字盖章后开始生效。 </w:t>
      </w: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19.2本合同一式</w:t>
      </w:r>
      <w:r>
        <w:rPr>
          <w:rFonts w:hint="eastAsia" w:hAnsi="宋体"/>
          <w:color w:val="auto"/>
          <w:sz w:val="21"/>
          <w:szCs w:val="21"/>
          <w:highlight w:val="none"/>
          <w:u w:val="single"/>
        </w:rPr>
        <w:t xml:space="preserve">    </w:t>
      </w:r>
      <w:r>
        <w:rPr>
          <w:rFonts w:hint="eastAsia" w:hAnsi="宋体"/>
          <w:color w:val="auto"/>
          <w:sz w:val="21"/>
          <w:szCs w:val="21"/>
          <w:highlight w:val="none"/>
        </w:rPr>
        <w:t>份，甲方执</w:t>
      </w:r>
      <w:r>
        <w:rPr>
          <w:rFonts w:hint="eastAsia" w:hAnsi="宋体"/>
          <w:color w:val="auto"/>
          <w:sz w:val="21"/>
          <w:szCs w:val="21"/>
          <w:highlight w:val="none"/>
          <w:u w:val="single"/>
        </w:rPr>
        <w:t xml:space="preserve">    </w:t>
      </w:r>
      <w:r>
        <w:rPr>
          <w:rFonts w:hint="eastAsia" w:hAnsi="宋体"/>
          <w:color w:val="auto"/>
          <w:sz w:val="21"/>
          <w:szCs w:val="21"/>
          <w:highlight w:val="none"/>
        </w:rPr>
        <w:t>份，乙方执</w:t>
      </w:r>
      <w:r>
        <w:rPr>
          <w:rFonts w:hint="eastAsia" w:hAnsi="宋体"/>
          <w:color w:val="auto"/>
          <w:sz w:val="21"/>
          <w:szCs w:val="21"/>
          <w:highlight w:val="none"/>
          <w:u w:val="single"/>
        </w:rPr>
        <w:t xml:space="preserve">    </w:t>
      </w:r>
      <w:r>
        <w:rPr>
          <w:rFonts w:hint="eastAsia" w:hAnsi="宋体"/>
          <w:color w:val="auto"/>
          <w:sz w:val="21"/>
          <w:szCs w:val="21"/>
          <w:highlight w:val="none"/>
        </w:rPr>
        <w:t>份，采购代理机构执</w:t>
      </w:r>
      <w:r>
        <w:rPr>
          <w:rFonts w:hint="eastAsia" w:hAnsi="宋体"/>
          <w:color w:val="auto"/>
          <w:sz w:val="21"/>
          <w:szCs w:val="21"/>
          <w:highlight w:val="none"/>
          <w:u w:val="single"/>
        </w:rPr>
        <w:t xml:space="preserve">     </w:t>
      </w:r>
      <w:r>
        <w:rPr>
          <w:rFonts w:hint="eastAsia" w:hAnsi="宋体"/>
          <w:color w:val="auto"/>
          <w:sz w:val="21"/>
          <w:szCs w:val="21"/>
          <w:highlight w:val="none"/>
        </w:rPr>
        <w:t>份，具同等法律效力。本合同合计</w:t>
      </w:r>
      <w:r>
        <w:rPr>
          <w:rFonts w:hint="eastAsia" w:hAnsi="宋体"/>
          <w:color w:val="auto"/>
          <w:sz w:val="21"/>
          <w:szCs w:val="21"/>
          <w:highlight w:val="none"/>
          <w:u w:val="single"/>
        </w:rPr>
        <w:t xml:space="preserve">   </w:t>
      </w:r>
      <w:r>
        <w:rPr>
          <w:rFonts w:hint="eastAsia" w:hAnsi="宋体"/>
          <w:color w:val="auto"/>
          <w:sz w:val="21"/>
          <w:szCs w:val="21"/>
          <w:highlight w:val="none"/>
        </w:rPr>
        <w:t>页，缺页之合同为无效合同。</w:t>
      </w: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19.3其它未尽事宜，由甲乙双方友好协商解决，并参照《中华人民共和国民法典》有关条款执行。</w:t>
      </w:r>
    </w:p>
    <w:p>
      <w:pPr>
        <w:pStyle w:val="47"/>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19.4本合同应按照中华人民共和国的法律进行解释。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（以下无正文）</w:t>
      </w:r>
    </w:p>
    <w:p>
      <w:pPr>
        <w:spacing w:line="360" w:lineRule="auto"/>
        <w:ind w:firstLine="420" w:firstLineChars="200"/>
        <w:rPr>
          <w:rFonts w:hAnsi="宋体"/>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甲方（盖章）：                      乙方（盖章）：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甲方法定代表(签字)：                乙方法定代表(签字)：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地址：                              地址： </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电话：                              电话：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传真：</w:t>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传真：</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开户银行：</w:t>
      </w:r>
      <w:r>
        <w:rPr>
          <w:rFonts w:hint="eastAsia" w:hAnsi="宋体"/>
          <w:color w:val="auto"/>
          <w:sz w:val="21"/>
          <w:szCs w:val="21"/>
          <w:highlight w:val="none"/>
        </w:rPr>
        <w:tab/>
      </w:r>
      <w:r>
        <w:rPr>
          <w:rFonts w:hint="eastAsia" w:hAnsi="宋体"/>
          <w:color w:val="auto"/>
          <w:sz w:val="21"/>
          <w:szCs w:val="21"/>
          <w:highlight w:val="none"/>
        </w:rPr>
        <w:t xml:space="preserve">                        开户银行：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账号：                               账号：</w:t>
      </w:r>
    </w:p>
    <w:p>
      <w:pPr>
        <w:spacing w:line="360" w:lineRule="auto"/>
        <w:ind w:firstLine="420" w:firstLineChars="200"/>
        <w:rPr>
          <w:rFonts w:hAnsi="宋体"/>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签约时间：</w:t>
      </w:r>
    </w:p>
    <w:p>
      <w:pPr>
        <w:pStyle w:val="197"/>
        <w:spacing w:line="360" w:lineRule="auto"/>
        <w:rPr>
          <w:rFonts w:ascii="宋体" w:hAnsi="宋体"/>
          <w:color w:val="auto"/>
          <w:szCs w:val="21"/>
          <w:highlight w:val="none"/>
        </w:rPr>
      </w:pPr>
      <w:r>
        <w:rPr>
          <w:rFonts w:hint="eastAsia" w:ascii="宋体" w:hAnsi="宋体"/>
          <w:color w:val="auto"/>
          <w:szCs w:val="21"/>
          <w:highlight w:val="none"/>
        </w:rPr>
        <w:t>签约地点：</w:t>
      </w:r>
    </w:p>
    <w:p>
      <w:pPr>
        <w:spacing w:line="360" w:lineRule="auto"/>
        <w:rPr>
          <w:rFonts w:hAnsi="宋体"/>
          <w:color w:val="auto"/>
          <w:sz w:val="18"/>
          <w:szCs w:val="18"/>
          <w:highlight w:val="none"/>
        </w:rPr>
      </w:pPr>
      <w:r>
        <w:rPr>
          <w:rFonts w:hint="eastAsia" w:hAnsi="宋体"/>
          <w:color w:val="auto"/>
          <w:sz w:val="18"/>
          <w:szCs w:val="18"/>
          <w:highlight w:val="none"/>
        </w:rPr>
        <w:br w:type="page"/>
      </w:r>
    </w:p>
    <w:p>
      <w:pPr>
        <w:spacing w:line="360" w:lineRule="auto"/>
        <w:jc w:val="center"/>
        <w:rPr>
          <w:rFonts w:hAnsi="宋体"/>
          <w:b/>
          <w:color w:val="auto"/>
          <w:sz w:val="18"/>
          <w:szCs w:val="18"/>
          <w:highlight w:val="none"/>
        </w:rPr>
      </w:pPr>
      <w:r>
        <w:rPr>
          <w:rFonts w:hint="eastAsia" w:hAnsi="宋体"/>
          <w:b/>
          <w:color w:val="auto"/>
          <w:sz w:val="36"/>
          <w:szCs w:val="36"/>
          <w:highlight w:val="none"/>
        </w:rPr>
        <w:t>阳光合作协议</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u w:val="single"/>
        </w:rPr>
      </w:pPr>
      <w:r>
        <w:rPr>
          <w:rFonts w:hint="eastAsia" w:hAnsi="宋体"/>
          <w:color w:val="auto"/>
          <w:sz w:val="21"/>
          <w:szCs w:val="21"/>
          <w:highlight w:val="none"/>
        </w:rPr>
        <w:t>甲方：</w:t>
      </w:r>
      <w:r>
        <w:rPr>
          <w:rFonts w:hint="eastAsia" w:hAnsi="宋体"/>
          <w:color w:val="auto"/>
          <w:sz w:val="21"/>
          <w:szCs w:val="21"/>
          <w:highlight w:val="none"/>
          <w:u w:val="single"/>
        </w:rPr>
        <w:t xml:space="preserve">                                </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甲乙双方于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日签署了《……合同》（以下简称原合同），为加强双方阳光合作，保证职员职业安全，甲乙双方经协商签订本协议并作为双方共同遵守的阳光合作行为准则。</w:t>
      </w:r>
    </w:p>
    <w:p>
      <w:pPr>
        <w:widowControl/>
        <w:autoSpaceDE/>
        <w:autoSpaceDN/>
        <w:adjustRightInd/>
        <w:spacing w:before="163" w:beforeLines="50" w:after="163"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一、甲方责任</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autoSpaceDE/>
        <w:autoSpaceDN/>
        <w:adjustRightInd/>
        <w:spacing w:before="163" w:beforeLines="50" w:after="163"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二、乙方责任</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举报受理部门：东莞实业投资控股集团有限公司法律合规部</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东实集团举报邮箱：dgsyxf@163.com</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东实集团举报电话：0769-28820703（周一至周五9:00-12:00和14:00-18:00）</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邮寄地址：东莞市东城区八一路1号机关二号大院9号楼，东莞实业投资控股集团有限公司法律合规部收，邮编523000。</w:t>
      </w:r>
    </w:p>
    <w:p>
      <w:pPr>
        <w:widowControl/>
        <w:autoSpaceDE/>
        <w:autoSpaceDN/>
        <w:adjustRightInd/>
        <w:spacing w:before="163" w:beforeLines="50" w:after="163"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三、其他</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2.本协议一式四份，甲方执贰份，乙方执贰份,具有同等法律效力。</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 xml:space="preserve">甲方（盖章）：                      乙方（盖章）： </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法定代表人（授权代表）：</w:t>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 xml:space="preserve">  </w:t>
      </w:r>
      <w:r>
        <w:rPr>
          <w:rFonts w:hint="eastAsia" w:hAnsi="宋体"/>
          <w:color w:val="auto"/>
          <w:sz w:val="21"/>
          <w:szCs w:val="21"/>
          <w:highlight w:val="none"/>
        </w:rPr>
        <w:tab/>
      </w:r>
      <w:r>
        <w:rPr>
          <w:rFonts w:hint="eastAsia" w:hAnsi="宋体"/>
          <w:color w:val="auto"/>
          <w:sz w:val="21"/>
          <w:szCs w:val="21"/>
          <w:highlight w:val="none"/>
        </w:rPr>
        <w:t xml:space="preserve">   法定代表人（授权代表）：</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签约日期：   年   月   日</w:t>
      </w:r>
      <w:bookmarkStart w:id="180" w:name="设计变更通知单"/>
      <w:bookmarkEnd w:id="180"/>
      <w:bookmarkStart w:id="181" w:name="现场签证通知单"/>
      <w:bookmarkEnd w:id="181"/>
      <w:r>
        <w:rPr>
          <w:rFonts w:hint="eastAsia" w:hAnsi="宋体"/>
          <w:color w:val="auto"/>
          <w:sz w:val="21"/>
          <w:szCs w:val="21"/>
          <w:highlight w:val="none"/>
        </w:rPr>
        <w:tab/>
      </w:r>
      <w:r>
        <w:rPr>
          <w:rFonts w:hint="eastAsia" w:hAnsi="宋体"/>
          <w:color w:val="auto"/>
          <w:sz w:val="21"/>
          <w:szCs w:val="21"/>
          <w:highlight w:val="none"/>
        </w:rPr>
        <w:t xml:space="preserve">       签约日期：   年   月   日</w:t>
      </w:r>
    </w:p>
    <w:p>
      <w:pPr>
        <w:autoSpaceDE/>
        <w:autoSpaceDN/>
        <w:adjustRightInd/>
        <w:spacing w:before="163" w:beforeLines="50" w:after="163" w:afterLines="50" w:line="360" w:lineRule="auto"/>
        <w:ind w:firstLine="420" w:firstLineChars="200"/>
        <w:contextualSpacing/>
        <w:rPr>
          <w:color w:val="auto"/>
          <w:sz w:val="21"/>
          <w:szCs w:val="21"/>
          <w:highlight w:val="none"/>
        </w:rPr>
      </w:pPr>
    </w:p>
    <w:p>
      <w:pPr>
        <w:spacing w:before="163" w:beforeLines="50" w:after="163" w:afterLines="50" w:line="360" w:lineRule="auto"/>
        <w:ind w:firstLine="420" w:firstLineChars="200"/>
        <w:contextualSpacing/>
        <w:rPr>
          <w:rFonts w:hAnsi="宋体"/>
          <w:color w:val="auto"/>
          <w:sz w:val="21"/>
          <w:szCs w:val="21"/>
          <w:highlight w:val="none"/>
        </w:rPr>
      </w:pPr>
    </w:p>
    <w:p>
      <w:pPr>
        <w:pStyle w:val="2"/>
        <w:rPr>
          <w:rFonts w:hAnsi="宋体"/>
          <w:color w:val="auto"/>
          <w:sz w:val="21"/>
          <w:szCs w:val="21"/>
          <w:highlight w:val="none"/>
        </w:rPr>
      </w:pPr>
    </w:p>
    <w:p>
      <w:pPr>
        <w:pStyle w:val="5"/>
        <w:keepNext/>
        <w:keepLines/>
        <w:pageBreakBefore/>
        <w:spacing w:line="360" w:lineRule="auto"/>
        <w:jc w:val="center"/>
        <w:rPr>
          <w:rFonts w:hAnsi="宋体"/>
          <w:b/>
          <w:bCs/>
          <w:color w:val="auto"/>
          <w:kern w:val="44"/>
          <w:sz w:val="28"/>
          <w:szCs w:val="28"/>
          <w:highlight w:val="none"/>
          <w:lang w:val="zh-CN"/>
        </w:rPr>
      </w:pPr>
      <w:bookmarkStart w:id="182" w:name="_Toc8470"/>
      <w:bookmarkStart w:id="183" w:name="_Toc9129"/>
      <w:bookmarkStart w:id="184" w:name="_Toc396137242"/>
      <w:r>
        <w:rPr>
          <w:rFonts w:hint="eastAsia" w:hAnsi="宋体"/>
          <w:b/>
          <w:bCs/>
          <w:color w:val="auto"/>
          <w:kern w:val="44"/>
          <w:sz w:val="28"/>
          <w:szCs w:val="28"/>
          <w:highlight w:val="none"/>
          <w:lang w:val="zh-CN"/>
        </w:rPr>
        <w:t>第六篇磋商响应文件格式</w:t>
      </w:r>
      <w:bookmarkEnd w:id="182"/>
      <w:bookmarkEnd w:id="183"/>
      <w:bookmarkEnd w:id="184"/>
    </w:p>
    <w:p>
      <w:pPr>
        <w:ind w:firstLine="1800" w:firstLineChars="750"/>
        <w:rPr>
          <w:rFonts w:hAnsi="宋体"/>
          <w:color w:val="auto"/>
          <w:highlight w:val="none"/>
        </w:rPr>
      </w:pPr>
    </w:p>
    <w:p>
      <w:pPr>
        <w:pStyle w:val="6"/>
        <w:jc w:val="center"/>
        <w:rPr>
          <w:color w:val="auto"/>
          <w:sz w:val="28"/>
          <w:szCs w:val="28"/>
          <w:highlight w:val="none"/>
        </w:rPr>
      </w:pPr>
      <w:bookmarkStart w:id="185" w:name="_Toc9566"/>
      <w:bookmarkStart w:id="186" w:name="_Toc19311"/>
      <w:r>
        <w:rPr>
          <w:rFonts w:hint="eastAsia"/>
          <w:color w:val="auto"/>
          <w:sz w:val="28"/>
          <w:szCs w:val="28"/>
          <w:highlight w:val="none"/>
        </w:rPr>
        <w:t>第一部分 价格文件（单独编制装订成册）</w:t>
      </w:r>
      <w:bookmarkEnd w:id="185"/>
      <w:bookmarkEnd w:id="186"/>
    </w:p>
    <w:p>
      <w:pPr>
        <w:ind w:firstLine="1800" w:firstLineChars="750"/>
        <w:rPr>
          <w:rFonts w:hAnsi="宋体"/>
          <w:color w:val="auto"/>
          <w:highlight w:val="none"/>
        </w:rPr>
      </w:pPr>
    </w:p>
    <w:p>
      <w:pPr>
        <w:pStyle w:val="6"/>
        <w:numPr>
          <w:ilvl w:val="0"/>
          <w:numId w:val="17"/>
        </w:numPr>
        <w:jc w:val="center"/>
        <w:rPr>
          <w:color w:val="auto"/>
          <w:sz w:val="28"/>
          <w:szCs w:val="28"/>
          <w:highlight w:val="none"/>
        </w:rPr>
      </w:pPr>
      <w:bookmarkStart w:id="187" w:name="_Toc7897888"/>
      <w:bookmarkStart w:id="188" w:name="_Toc21786"/>
      <w:bookmarkStart w:id="189" w:name="_Toc12373"/>
      <w:bookmarkStart w:id="190" w:name="_Toc20730"/>
      <w:bookmarkStart w:id="191" w:name="_Toc458262639"/>
      <w:bookmarkStart w:id="192" w:name="_Toc486671573"/>
      <w:bookmarkStart w:id="193" w:name="_Toc467236769"/>
      <w:bookmarkStart w:id="194" w:name="_Toc454701406"/>
      <w:bookmarkStart w:id="195" w:name="_Toc476976201"/>
      <w:bookmarkStart w:id="196" w:name="_Toc396137244"/>
      <w:bookmarkStart w:id="197" w:name="_Toc29841"/>
      <w:bookmarkStart w:id="198" w:name="_Toc15960"/>
      <w:bookmarkStart w:id="199" w:name="_Toc19671"/>
      <w:bookmarkStart w:id="200" w:name="_Toc30637"/>
      <w:bookmarkStart w:id="201" w:name="_Toc2544"/>
      <w:bookmarkStart w:id="202" w:name="_Toc28095"/>
      <w:bookmarkStart w:id="203" w:name="_Toc9348"/>
      <w:bookmarkStart w:id="204" w:name="_Toc18848"/>
      <w:bookmarkStart w:id="205" w:name="_Toc32273"/>
      <w:bookmarkStart w:id="206" w:name="_Toc32736"/>
      <w:bookmarkStart w:id="207" w:name="_Toc12383"/>
      <w:bookmarkStart w:id="208" w:name="_Toc32405"/>
      <w:r>
        <w:rPr>
          <w:rFonts w:hint="eastAsia"/>
          <w:color w:val="auto"/>
          <w:sz w:val="28"/>
          <w:szCs w:val="28"/>
          <w:highlight w:val="none"/>
        </w:rPr>
        <w:t>报价一览表</w:t>
      </w:r>
      <w:bookmarkEnd w:id="187"/>
      <w:bookmarkEnd w:id="188"/>
      <w:bookmarkEnd w:id="189"/>
      <w:bookmarkEnd w:id="190"/>
    </w:p>
    <w:p>
      <w:pPr>
        <w:pStyle w:val="8"/>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序号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Ansi="宋体"/>
                <w:color w:val="auto"/>
                <w:sz w:val="21"/>
                <w:szCs w:val="21"/>
                <w:highlight w:val="none"/>
              </w:rPr>
            </w:pPr>
          </w:p>
        </w:tc>
        <w:tc>
          <w:tcPr>
            <w:tcW w:w="2457" w:type="dxa"/>
            <w:vMerge w:val="restart"/>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8"/>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91"/>
      <w:bookmarkEnd w:id="192"/>
      <w:bookmarkEnd w:id="193"/>
      <w:bookmarkEnd w:id="194"/>
      <w:bookmarkEnd w:id="195"/>
      <w:r>
        <w:rPr>
          <w:rFonts w:hint="eastAsia"/>
          <w:color w:val="auto"/>
          <w:sz w:val="21"/>
          <w:szCs w:val="21"/>
          <w:highlight w:val="none"/>
        </w:rPr>
        <w:t>。</w:t>
      </w:r>
    </w:p>
    <w:p>
      <w:pPr>
        <w:rPr>
          <w:color w:val="auto"/>
          <w:highlight w:val="none"/>
        </w:rPr>
      </w:pPr>
      <w:r>
        <w:rPr>
          <w:color w:val="auto"/>
          <w:highlight w:val="none"/>
        </w:rPr>
        <w:br w:type="page"/>
      </w:r>
    </w:p>
    <w:p>
      <w:pPr>
        <w:pStyle w:val="6"/>
        <w:numPr>
          <w:ilvl w:val="0"/>
          <w:numId w:val="17"/>
        </w:numPr>
        <w:jc w:val="center"/>
        <w:rPr>
          <w:color w:val="auto"/>
          <w:sz w:val="28"/>
          <w:szCs w:val="28"/>
          <w:highlight w:val="none"/>
        </w:rPr>
      </w:pPr>
      <w:bookmarkStart w:id="209" w:name="_Toc2029"/>
      <w:r>
        <w:rPr>
          <w:rFonts w:hint="eastAsia"/>
          <w:color w:val="auto"/>
          <w:sz w:val="28"/>
          <w:szCs w:val="28"/>
          <w:highlight w:val="none"/>
        </w:rPr>
        <w:t>分项报价表</w:t>
      </w:r>
      <w:bookmarkEnd w:id="209"/>
    </w:p>
    <w:tbl>
      <w:tblPr>
        <w:tblStyle w:val="51"/>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1586"/>
        <w:gridCol w:w="3347"/>
        <w:gridCol w:w="632"/>
        <w:gridCol w:w="1121"/>
        <w:gridCol w:w="1127"/>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6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8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69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3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56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14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hAnsi="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9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6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hAnsi="宋体" w:cs="宋体"/>
                <w:i w:val="0"/>
                <w:iCs w:val="0"/>
                <w:color w:val="auto"/>
                <w:sz w:val="20"/>
                <w:szCs w:val="20"/>
                <w:highlight w:val="none"/>
                <w:u w:val="none"/>
                <w:lang w:val="en-US" w:eastAsia="zh-CN"/>
              </w:rPr>
              <w:t>综合单价</w:t>
            </w:r>
          </w:p>
        </w:tc>
        <w:tc>
          <w:tcPr>
            <w:tcW w:w="5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hAnsi="宋体" w:cs="宋体"/>
                <w:i w:val="0"/>
                <w:iCs w:val="0"/>
                <w:color w:val="auto"/>
                <w:sz w:val="20"/>
                <w:szCs w:val="20"/>
                <w:highlight w:val="none"/>
                <w:u w:val="none"/>
                <w:lang w:val="en-US" w:eastAsia="zh-CN"/>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智能门锁（主材）</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1.材质：前后面板及把手：铝合金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2.表面处理：喷油、黑色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3.锁体：不锈钢双锁舌带防撞舌，锁芯级别：≥B级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4.功能:蓝牙、密码、卡、机械钥匙、NFC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5.通过APP可远程：发送密码、终止密码、时时查看记录、远程开门、查看电量等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6.其他：含干电池，待机时长≥8个月</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1327</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智能门锁（安装）</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1.智能门锁及锁舌安装及调试</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1327</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门锁改孔及旧锁拆卸</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1.其他:旧锁拆卸及门锁改孔</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1327</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蓝牙智能网关/中英文</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1.入网及供电方式：网线入网、供电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2.通讯方式：</w:t>
            </w:r>
            <w:r>
              <w:rPr>
                <w:rFonts w:hint="eastAsia" w:hAnsi="宋体" w:cs="宋体"/>
                <w:i w:val="0"/>
                <w:iCs w:val="0"/>
                <w:color w:val="auto"/>
                <w:kern w:val="0"/>
                <w:sz w:val="20"/>
                <w:szCs w:val="20"/>
                <w:highlight w:val="none"/>
                <w:u w:val="none"/>
                <w:lang w:val="en-US" w:eastAsia="zh-CN" w:bidi="ar"/>
              </w:rPr>
              <w:t>蓝牙</w:t>
            </w:r>
            <w:r>
              <w:rPr>
                <w:rFonts w:hint="eastAsia" w:ascii="宋体" w:hAnsi="宋体" w:eastAsia="宋体" w:cs="宋体"/>
                <w:i w:val="0"/>
                <w:iCs w:val="0"/>
                <w:color w:val="auto"/>
                <w:kern w:val="0"/>
                <w:sz w:val="20"/>
                <w:szCs w:val="20"/>
                <w:highlight w:val="none"/>
                <w:u w:val="none"/>
                <w:lang w:val="en-US" w:eastAsia="zh-CN" w:bidi="ar"/>
              </w:rPr>
              <w:t>无线通讯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3.有效距离：空旷20m内</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344</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1.企业级全千兆三层网管交换机交换器网络分线器支持动态静态路由vlan端口镜像汇聚隔离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2.交换机8口千兆+2个千兆SFP光口</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1.24口全千兆Web网管 云管理交换机 2个千兆SFP端口 企业级 监控网络网线分线器</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企业级POE交换机网络分线器 集线器分流器 即插即用 支持AP供电 16口百兆</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企业级9口百兆8口POE非网管PoE交换机 </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千兆单模双纤SFP光模块</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千兆单模双纤SFP光模块 光纤</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1.名称:电线管暗配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2.材质:SC20内</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11176.46</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CAT5网线</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1.名称:网线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2.规格:CAT5</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10826.46</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1.名称:光纤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2.其他：安装</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全网通手机</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1.移动端管理软件安装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2.运行内存≥8GB+机身内存≥256GB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3.CPU核数八核、双卡双卡双待4G\5G网络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4.系统：鸿蒙、安卓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5.屏幕尺寸≥6.5英寸</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联网智能门锁管理系统</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1.配套管理软件安装、调试及培训</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发卡器设备及授权门卡</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1.名称:发卡器及授权卡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2.规格:授权门卡暂定50张</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住宅智能化系统试运行</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1.系统试运行调试</w:t>
            </w: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双绞线缆测试</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链路</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光纤测试</w:t>
            </w:r>
          </w:p>
        </w:tc>
        <w:tc>
          <w:tcPr>
            <w:tcW w:w="1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链路</w:t>
            </w:r>
          </w:p>
        </w:tc>
        <w:tc>
          <w:tcPr>
            <w:tcW w:w="5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428" w:type="pct"/>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合计</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rPr>
          <w:color w:val="auto"/>
          <w:highlight w:val="none"/>
        </w:rPr>
      </w:pPr>
    </w:p>
    <w:p>
      <w:pPr>
        <w:rPr>
          <w:rFonts w:hAnsi="宋体"/>
          <w:b/>
          <w:color w:val="auto"/>
          <w:sz w:val="28"/>
          <w:szCs w:val="28"/>
          <w:highlight w:val="none"/>
        </w:rPr>
      </w:pPr>
      <w:r>
        <w:rPr>
          <w:rFonts w:hint="eastAsia" w:hAnsi="宋体"/>
          <w:b/>
          <w:color w:val="auto"/>
          <w:sz w:val="28"/>
          <w:szCs w:val="28"/>
          <w:highlight w:val="none"/>
        </w:rPr>
        <w:br w:type="page"/>
      </w:r>
    </w:p>
    <w:bookmarkEnd w:id="196"/>
    <w:bookmarkEnd w:id="197"/>
    <w:bookmarkEnd w:id="198"/>
    <w:bookmarkEnd w:id="199"/>
    <w:bookmarkEnd w:id="200"/>
    <w:bookmarkEnd w:id="201"/>
    <w:bookmarkEnd w:id="202"/>
    <w:bookmarkEnd w:id="203"/>
    <w:bookmarkEnd w:id="204"/>
    <w:bookmarkEnd w:id="205"/>
    <w:bookmarkEnd w:id="206"/>
    <w:bookmarkEnd w:id="207"/>
    <w:bookmarkEnd w:id="208"/>
    <w:p>
      <w:pPr>
        <w:pStyle w:val="6"/>
        <w:pageBreakBefore/>
        <w:spacing w:line="360" w:lineRule="auto"/>
        <w:jc w:val="center"/>
        <w:rPr>
          <w:bCs/>
          <w:color w:val="auto"/>
          <w:sz w:val="28"/>
          <w:szCs w:val="28"/>
          <w:highlight w:val="none"/>
        </w:rPr>
      </w:pPr>
      <w:bookmarkStart w:id="210" w:name="_Toc18450"/>
      <w:bookmarkStart w:id="211" w:name="_Toc12158"/>
      <w:bookmarkStart w:id="212" w:name="_Toc476976200"/>
      <w:bookmarkStart w:id="213" w:name="_Toc27849"/>
      <w:bookmarkStart w:id="214" w:name="_Toc454701405"/>
      <w:bookmarkStart w:id="215" w:name="_Toc458262638"/>
      <w:bookmarkStart w:id="216" w:name="_Toc486671572"/>
      <w:bookmarkStart w:id="217" w:name="_Toc7897890"/>
      <w:bookmarkStart w:id="218" w:name="_Toc467236768"/>
      <w:bookmarkStart w:id="219" w:name="_Toc110953866"/>
      <w:bookmarkStart w:id="220" w:name="_Toc467987856"/>
      <w:bookmarkStart w:id="221" w:name="_Toc480020289"/>
      <w:bookmarkStart w:id="222" w:name="_Toc479991616"/>
      <w:bookmarkStart w:id="223" w:name="_Toc480021085"/>
      <w:bookmarkStart w:id="224" w:name="_Toc468157569"/>
      <w:bookmarkStart w:id="225" w:name="_Toc468606064"/>
      <w:bookmarkStart w:id="226" w:name="_Toc480010742"/>
      <w:r>
        <w:rPr>
          <w:rFonts w:hint="eastAsia"/>
          <w:bCs/>
          <w:color w:val="auto"/>
          <w:sz w:val="28"/>
          <w:szCs w:val="28"/>
          <w:highlight w:val="none"/>
        </w:rPr>
        <w:t>第二部分  商务文件</w:t>
      </w:r>
      <w:bookmarkEnd w:id="210"/>
      <w:bookmarkEnd w:id="211"/>
      <w:bookmarkStart w:id="227" w:name="_Hlt10456397"/>
      <w:bookmarkEnd w:id="227"/>
      <w:bookmarkStart w:id="228" w:name="_Hlt10519799"/>
      <w:bookmarkEnd w:id="228"/>
    </w:p>
    <w:p>
      <w:pPr>
        <w:rPr>
          <w:color w:val="auto"/>
          <w:highlight w:val="none"/>
        </w:rPr>
      </w:pPr>
    </w:p>
    <w:p>
      <w:pPr>
        <w:pStyle w:val="6"/>
        <w:numPr>
          <w:ilvl w:val="0"/>
          <w:numId w:val="18"/>
        </w:numPr>
        <w:jc w:val="center"/>
        <w:rPr>
          <w:b w:val="0"/>
          <w:color w:val="auto"/>
          <w:sz w:val="28"/>
          <w:szCs w:val="28"/>
          <w:highlight w:val="none"/>
        </w:rPr>
      </w:pPr>
      <w:bookmarkStart w:id="229" w:name="_Toc8815"/>
      <w:bookmarkStart w:id="230" w:name="_Toc18728"/>
      <w:r>
        <w:rPr>
          <w:rFonts w:hint="eastAsia"/>
          <w:color w:val="auto"/>
          <w:sz w:val="28"/>
          <w:szCs w:val="28"/>
          <w:highlight w:val="none"/>
        </w:rPr>
        <w:t>响应书</w:t>
      </w:r>
      <w:bookmarkEnd w:id="212"/>
      <w:bookmarkEnd w:id="213"/>
      <w:bookmarkEnd w:id="214"/>
      <w:bookmarkEnd w:id="215"/>
      <w:bookmarkEnd w:id="216"/>
      <w:bookmarkEnd w:id="217"/>
      <w:bookmarkEnd w:id="218"/>
      <w:bookmarkEnd w:id="229"/>
      <w:bookmarkEnd w:id="230"/>
    </w:p>
    <w:p>
      <w:pPr>
        <w:pStyle w:val="31"/>
        <w:autoSpaceDE/>
        <w:autoSpaceDN/>
        <w:adjustRightInd/>
        <w:spacing w:line="480" w:lineRule="exact"/>
        <w:ind w:left="6000"/>
        <w:rPr>
          <w:rFonts w:hAnsi="宋体"/>
          <w:color w:val="auto"/>
          <w:sz w:val="24"/>
          <w:highlight w:val="none"/>
        </w:rPr>
      </w:pPr>
    </w:p>
    <w:p>
      <w:pPr>
        <w:pStyle w:val="31"/>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6"/>
        <w:numPr>
          <w:ilvl w:val="0"/>
          <w:numId w:val="18"/>
        </w:numPr>
        <w:jc w:val="center"/>
        <w:rPr>
          <w:bCs/>
          <w:color w:val="auto"/>
          <w:sz w:val="28"/>
          <w:szCs w:val="28"/>
          <w:highlight w:val="none"/>
        </w:rPr>
      </w:pPr>
      <w:r>
        <w:rPr>
          <w:color w:val="auto"/>
          <w:sz w:val="22"/>
          <w:szCs w:val="22"/>
          <w:highlight w:val="none"/>
        </w:rPr>
        <w:br w:type="page"/>
      </w:r>
      <w:bookmarkStart w:id="231" w:name="_Toc7897891"/>
      <w:bookmarkStart w:id="232" w:name="_Toc24748"/>
      <w:bookmarkStart w:id="233" w:name="_Toc31943"/>
      <w:bookmarkStart w:id="234" w:name="_Toc10808"/>
      <w:r>
        <w:rPr>
          <w:rFonts w:hint="eastAsia"/>
          <w:bCs/>
          <w:color w:val="auto"/>
          <w:sz w:val="28"/>
          <w:szCs w:val="28"/>
          <w:highlight w:val="none"/>
        </w:rPr>
        <w:t>法定代表人证明书</w:t>
      </w:r>
      <w:bookmarkEnd w:id="231"/>
      <w:bookmarkEnd w:id="232"/>
      <w:bookmarkEnd w:id="233"/>
      <w:bookmarkEnd w:id="234"/>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6"/>
        <w:numPr>
          <w:ilvl w:val="0"/>
          <w:numId w:val="18"/>
        </w:numPr>
        <w:jc w:val="center"/>
        <w:rPr>
          <w:bCs/>
          <w:color w:val="auto"/>
          <w:sz w:val="28"/>
          <w:szCs w:val="28"/>
          <w:highlight w:val="none"/>
        </w:rPr>
      </w:pPr>
      <w:r>
        <w:rPr>
          <w:rFonts w:hint="eastAsia"/>
          <w:bCs/>
          <w:color w:val="auto"/>
          <w:sz w:val="28"/>
          <w:szCs w:val="28"/>
          <w:highlight w:val="none"/>
        </w:rPr>
        <w:br w:type="page"/>
      </w:r>
      <w:bookmarkStart w:id="235" w:name="_Toc7897892"/>
      <w:bookmarkStart w:id="236" w:name="_Toc18590"/>
      <w:bookmarkStart w:id="237" w:name="_Toc28882"/>
      <w:bookmarkStart w:id="238" w:name="_Toc19634"/>
      <w:r>
        <w:rPr>
          <w:rFonts w:hint="eastAsia"/>
          <w:bCs/>
          <w:color w:val="auto"/>
          <w:sz w:val="28"/>
          <w:szCs w:val="28"/>
          <w:highlight w:val="none"/>
        </w:rPr>
        <w:t>授权委托书（加法人证明书）</w:t>
      </w:r>
      <w:bookmarkEnd w:id="235"/>
      <w:bookmarkEnd w:id="236"/>
      <w:bookmarkEnd w:id="237"/>
      <w:bookmarkEnd w:id="238"/>
    </w:p>
    <w:p>
      <w:pPr>
        <w:pStyle w:val="8"/>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8"/>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39" w:name="_Toc7897893"/>
      <w:bookmarkStart w:id="240" w:name="_Toc4592"/>
    </w:p>
    <w:p>
      <w:pPr>
        <w:pStyle w:val="8"/>
        <w:ind w:firstLine="0" w:firstLineChars="0"/>
        <w:rPr>
          <w:color w:val="auto"/>
          <w:highlight w:val="none"/>
        </w:rPr>
      </w:pPr>
    </w:p>
    <w:p>
      <w:pPr>
        <w:pStyle w:val="8"/>
        <w:ind w:firstLine="0" w:firstLineChars="0"/>
        <w:rPr>
          <w:color w:val="auto"/>
          <w:highlight w:val="none"/>
        </w:rPr>
      </w:pPr>
    </w:p>
    <w:p>
      <w:pPr>
        <w:pStyle w:val="8"/>
        <w:ind w:firstLine="0" w:firstLineChars="0"/>
        <w:rPr>
          <w:color w:val="auto"/>
          <w:highlight w:val="none"/>
        </w:rPr>
      </w:pPr>
    </w:p>
    <w:p>
      <w:pPr>
        <w:pStyle w:val="6"/>
        <w:numPr>
          <w:ilvl w:val="0"/>
          <w:numId w:val="18"/>
        </w:numPr>
        <w:jc w:val="center"/>
        <w:rPr>
          <w:color w:val="auto"/>
          <w:sz w:val="28"/>
          <w:szCs w:val="28"/>
          <w:highlight w:val="none"/>
        </w:rPr>
      </w:pPr>
      <w:bookmarkStart w:id="241" w:name="_Toc17363"/>
      <w:bookmarkStart w:id="242" w:name="_Toc1276"/>
      <w:r>
        <w:rPr>
          <w:rFonts w:hint="eastAsia"/>
          <w:color w:val="auto"/>
          <w:sz w:val="28"/>
          <w:szCs w:val="28"/>
          <w:highlight w:val="none"/>
        </w:rPr>
        <w:t>供应商基本情况说明</w:t>
      </w:r>
      <w:bookmarkEnd w:id="239"/>
      <w:bookmarkEnd w:id="240"/>
      <w:bookmarkEnd w:id="241"/>
      <w:bookmarkEnd w:id="242"/>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outlineLvl w:val="0"/>
        <w:rPr>
          <w:rFonts w:hAnsi="宋体"/>
          <w:color w:val="auto"/>
          <w:sz w:val="21"/>
          <w:szCs w:val="21"/>
          <w:highlight w:val="none"/>
        </w:rPr>
      </w:pPr>
      <w:bookmarkStart w:id="243"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43"/>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6"/>
        <w:numPr>
          <w:ilvl w:val="0"/>
          <w:numId w:val="18"/>
        </w:numPr>
        <w:jc w:val="center"/>
        <w:rPr>
          <w:b w:val="0"/>
          <w:color w:val="auto"/>
          <w:sz w:val="28"/>
          <w:szCs w:val="28"/>
          <w:highlight w:val="none"/>
          <w:u w:val="single"/>
        </w:rPr>
      </w:pPr>
      <w:r>
        <w:rPr>
          <w:color w:val="auto"/>
          <w:sz w:val="22"/>
          <w:szCs w:val="22"/>
          <w:highlight w:val="none"/>
        </w:rPr>
        <w:br w:type="page"/>
      </w:r>
      <w:bookmarkStart w:id="244" w:name="_Toc27094"/>
      <w:bookmarkStart w:id="245" w:name="_Toc8896"/>
      <w:bookmarkStart w:id="246" w:name="_Toc7897894"/>
      <w:bookmarkStart w:id="247" w:name="_Toc17704"/>
      <w:r>
        <w:rPr>
          <w:rFonts w:hint="eastAsia"/>
          <w:bCs/>
          <w:color w:val="auto"/>
          <w:sz w:val="28"/>
          <w:szCs w:val="28"/>
          <w:highlight w:val="none"/>
        </w:rPr>
        <w:t>偏离表</w:t>
      </w:r>
      <w:bookmarkEnd w:id="219"/>
      <w:bookmarkEnd w:id="244"/>
      <w:bookmarkEnd w:id="245"/>
      <w:bookmarkEnd w:id="246"/>
      <w:bookmarkEnd w:id="247"/>
    </w:p>
    <w:p>
      <w:pPr>
        <w:pStyle w:val="8"/>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18"/>
        </w:numPr>
        <w:jc w:val="center"/>
        <w:rPr>
          <w:rFonts w:ascii="Calibri" w:hAnsi="Times New Roman"/>
          <w:color w:val="auto"/>
          <w:sz w:val="28"/>
          <w:szCs w:val="28"/>
          <w:highlight w:val="none"/>
        </w:rPr>
      </w:pPr>
      <w:bookmarkStart w:id="248" w:name="_Toc8299"/>
      <w:bookmarkStart w:id="249" w:name="_Toc10734"/>
      <w:bookmarkStart w:id="250" w:name="_Toc31965"/>
      <w:bookmarkStart w:id="251"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48"/>
      <w:bookmarkEnd w:id="249"/>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8"/>
        <w:ind w:firstLine="400"/>
        <w:rPr>
          <w:color w:val="auto"/>
          <w:highlight w:val="none"/>
        </w:rPr>
      </w:pPr>
    </w:p>
    <w:p>
      <w:pPr>
        <w:pStyle w:val="6"/>
        <w:numPr>
          <w:ilvl w:val="0"/>
          <w:numId w:val="18"/>
        </w:numPr>
        <w:jc w:val="center"/>
        <w:rPr>
          <w:color w:val="auto"/>
          <w:sz w:val="28"/>
          <w:szCs w:val="28"/>
          <w:highlight w:val="none"/>
        </w:rPr>
      </w:pPr>
      <w:bookmarkStart w:id="252" w:name="_Toc12735"/>
      <w:bookmarkStart w:id="253" w:name="_Toc1441"/>
      <w:r>
        <w:rPr>
          <w:rFonts w:hint="eastAsia"/>
          <w:bCs/>
          <w:color w:val="auto"/>
          <w:sz w:val="28"/>
          <w:szCs w:val="28"/>
          <w:highlight w:val="none"/>
        </w:rPr>
        <w:t>供应商所获资质或奖项证书一览表</w:t>
      </w:r>
      <w:bookmarkEnd w:id="250"/>
      <w:bookmarkEnd w:id="251"/>
      <w:bookmarkEnd w:id="252"/>
      <w:bookmarkEnd w:id="253"/>
    </w:p>
    <w:p>
      <w:pPr>
        <w:pStyle w:val="8"/>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6"/>
        <w:numPr>
          <w:ilvl w:val="0"/>
          <w:numId w:val="18"/>
        </w:numPr>
        <w:jc w:val="center"/>
        <w:rPr>
          <w:color w:val="auto"/>
          <w:sz w:val="28"/>
          <w:szCs w:val="28"/>
          <w:highlight w:val="none"/>
        </w:rPr>
      </w:pPr>
      <w:r>
        <w:rPr>
          <w:color w:val="auto"/>
          <w:highlight w:val="none"/>
        </w:rPr>
        <w:br w:type="page"/>
      </w:r>
      <w:bookmarkStart w:id="254" w:name="_Toc4539"/>
      <w:bookmarkStart w:id="255" w:name="_Toc4884"/>
      <w:bookmarkStart w:id="256" w:name="_Toc23874"/>
      <w:bookmarkStart w:id="257" w:name="_Toc7897896"/>
      <w:r>
        <w:rPr>
          <w:rFonts w:hint="eastAsia"/>
          <w:bCs/>
          <w:color w:val="auto"/>
          <w:sz w:val="28"/>
          <w:szCs w:val="28"/>
          <w:highlight w:val="none"/>
        </w:rPr>
        <w:t>项目业绩一览表</w:t>
      </w:r>
      <w:bookmarkEnd w:id="254"/>
      <w:bookmarkEnd w:id="255"/>
      <w:bookmarkEnd w:id="256"/>
      <w:bookmarkEnd w:id="257"/>
    </w:p>
    <w:p>
      <w:pPr>
        <w:pStyle w:val="29"/>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9"/>
        <w:spacing w:line="480" w:lineRule="exact"/>
        <w:rPr>
          <w:rFonts w:hAnsi="宋体"/>
          <w:color w:val="auto"/>
          <w:sz w:val="22"/>
          <w:szCs w:val="22"/>
          <w:highlight w:val="none"/>
        </w:rPr>
      </w:pPr>
    </w:p>
    <w:p>
      <w:pPr>
        <w:pStyle w:val="29"/>
        <w:spacing w:line="480" w:lineRule="exact"/>
        <w:rPr>
          <w:rFonts w:hAnsi="宋体"/>
          <w:color w:val="auto"/>
          <w:sz w:val="22"/>
          <w:szCs w:val="22"/>
          <w:highlight w:val="none"/>
        </w:rPr>
      </w:pPr>
      <w:r>
        <w:rPr>
          <w:rFonts w:hint="eastAsia" w:hAnsi="宋体"/>
          <w:color w:val="auto"/>
          <w:sz w:val="22"/>
          <w:szCs w:val="22"/>
          <w:highlight w:val="none"/>
        </w:rPr>
        <w:t>要求：</w:t>
      </w:r>
    </w:p>
    <w:p>
      <w:pPr>
        <w:pStyle w:val="29"/>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9"/>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6"/>
        <w:numPr>
          <w:ilvl w:val="0"/>
          <w:numId w:val="18"/>
        </w:numPr>
        <w:jc w:val="center"/>
        <w:rPr>
          <w:b w:val="0"/>
          <w:bCs/>
          <w:color w:val="auto"/>
          <w:sz w:val="28"/>
          <w:highlight w:val="none"/>
        </w:rPr>
      </w:pPr>
      <w:r>
        <w:rPr>
          <w:color w:val="auto"/>
          <w:sz w:val="22"/>
          <w:szCs w:val="22"/>
          <w:highlight w:val="none"/>
        </w:rPr>
        <w:br w:type="page"/>
      </w:r>
      <w:bookmarkStart w:id="258" w:name="_Toc17432"/>
      <w:bookmarkStart w:id="259" w:name="_Toc6882"/>
      <w:bookmarkStart w:id="260" w:name="_Toc7897897"/>
      <w:bookmarkStart w:id="261" w:name="_Toc23633"/>
      <w:r>
        <w:rPr>
          <w:rFonts w:hint="eastAsia"/>
          <w:bCs/>
          <w:color w:val="auto"/>
          <w:sz w:val="28"/>
          <w:highlight w:val="none"/>
        </w:rPr>
        <w:t>在经营活动中没有重大违法记录的书面声明</w:t>
      </w:r>
      <w:bookmarkEnd w:id="258"/>
      <w:bookmarkEnd w:id="259"/>
      <w:bookmarkEnd w:id="260"/>
      <w:bookmarkEnd w:id="261"/>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20"/>
    <w:bookmarkEnd w:id="221"/>
    <w:bookmarkEnd w:id="222"/>
    <w:bookmarkEnd w:id="223"/>
    <w:bookmarkEnd w:id="224"/>
    <w:bookmarkEnd w:id="225"/>
    <w:bookmarkEnd w:id="226"/>
    <w:p>
      <w:pPr>
        <w:pStyle w:val="6"/>
        <w:numPr>
          <w:ilvl w:val="0"/>
          <w:numId w:val="18"/>
        </w:numPr>
        <w:jc w:val="center"/>
        <w:rPr>
          <w:b w:val="0"/>
          <w:color w:val="auto"/>
          <w:sz w:val="28"/>
          <w:szCs w:val="28"/>
          <w:highlight w:val="none"/>
        </w:rPr>
      </w:pPr>
      <w:bookmarkStart w:id="262" w:name="_Toc110953865"/>
      <w:bookmarkStart w:id="263" w:name="_Toc480171915"/>
      <w:bookmarkStart w:id="264" w:name="_Toc480021086"/>
      <w:bookmarkStart w:id="265" w:name="_Toc454701411"/>
      <w:bookmarkStart w:id="266" w:name="_Toc468157570"/>
      <w:bookmarkStart w:id="267" w:name="_Toc35233726"/>
      <w:bookmarkStart w:id="268" w:name="_Toc458262644"/>
      <w:bookmarkStart w:id="269" w:name="_Toc467987857"/>
      <w:bookmarkStart w:id="270" w:name="_Toc468606065"/>
      <w:bookmarkStart w:id="271" w:name="_Toc467236774"/>
      <w:bookmarkStart w:id="272" w:name="_Toc480020290"/>
      <w:bookmarkStart w:id="273" w:name="_Toc479991617"/>
      <w:bookmarkStart w:id="274" w:name="_Toc480010743"/>
      <w:r>
        <w:rPr>
          <w:color w:val="auto"/>
          <w:sz w:val="22"/>
          <w:szCs w:val="22"/>
          <w:highlight w:val="none"/>
        </w:rPr>
        <w:br w:type="page"/>
      </w:r>
      <w:bookmarkEnd w:id="262"/>
      <w:bookmarkStart w:id="275" w:name="_Toc8181"/>
      <w:bookmarkStart w:id="276" w:name="_Toc2461"/>
      <w:bookmarkStart w:id="277" w:name="_Toc18024"/>
      <w:bookmarkStart w:id="278" w:name="_Toc7897900"/>
      <w:r>
        <w:rPr>
          <w:rFonts w:hint="eastAsia"/>
          <w:color w:val="auto"/>
          <w:sz w:val="28"/>
          <w:szCs w:val="28"/>
          <w:highlight w:val="none"/>
        </w:rPr>
        <w:t>针对本项目拟派人员及其技术资格一览表</w:t>
      </w:r>
      <w:bookmarkEnd w:id="275"/>
      <w:bookmarkEnd w:id="276"/>
      <w:bookmarkEnd w:id="277"/>
      <w:bookmarkEnd w:id="278"/>
    </w:p>
    <w:p>
      <w:pPr>
        <w:pStyle w:val="29"/>
        <w:spacing w:line="480" w:lineRule="exact"/>
        <w:ind w:left="-202" w:leftChars="-84" w:firstLine="241" w:firstLineChars="100"/>
        <w:rPr>
          <w:rFonts w:hAnsi="宋体"/>
          <w:b/>
          <w:color w:val="auto"/>
          <w:sz w:val="24"/>
          <w:szCs w:val="21"/>
          <w:highlight w:val="none"/>
        </w:rPr>
      </w:pPr>
    </w:p>
    <w:p>
      <w:pPr>
        <w:pStyle w:val="29"/>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9"/>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9"/>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6"/>
        <w:numPr>
          <w:ilvl w:val="0"/>
          <w:numId w:val="18"/>
        </w:numPr>
        <w:jc w:val="center"/>
        <w:rPr>
          <w:bCs/>
          <w:color w:val="auto"/>
          <w:sz w:val="28"/>
          <w:szCs w:val="28"/>
          <w:highlight w:val="none"/>
        </w:rPr>
      </w:pPr>
      <w:r>
        <w:rPr>
          <w:bCs/>
          <w:color w:val="auto"/>
          <w:szCs w:val="21"/>
          <w:highlight w:val="none"/>
        </w:rPr>
        <w:br w:type="page"/>
      </w:r>
      <w:bookmarkEnd w:id="263"/>
      <w:bookmarkEnd w:id="264"/>
      <w:bookmarkEnd w:id="265"/>
      <w:bookmarkEnd w:id="266"/>
      <w:bookmarkEnd w:id="267"/>
      <w:bookmarkEnd w:id="268"/>
      <w:bookmarkEnd w:id="269"/>
      <w:bookmarkEnd w:id="270"/>
      <w:bookmarkEnd w:id="271"/>
      <w:bookmarkEnd w:id="272"/>
      <w:bookmarkEnd w:id="273"/>
      <w:bookmarkEnd w:id="274"/>
      <w:bookmarkStart w:id="279" w:name="_Toc16598"/>
      <w:bookmarkStart w:id="280" w:name="_Toc13441"/>
      <w:r>
        <w:rPr>
          <w:rFonts w:hint="eastAsia"/>
          <w:bCs/>
          <w:color w:val="auto"/>
          <w:sz w:val="28"/>
          <w:szCs w:val="28"/>
          <w:highlight w:val="none"/>
        </w:rPr>
        <w:t>磋商保证金汇入情况说明（适用于转账、电汇方式）</w:t>
      </w:r>
      <w:bookmarkEnd w:id="279"/>
      <w:bookmarkEnd w:id="280"/>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6"/>
        <w:pageBreakBefore/>
        <w:spacing w:line="360" w:lineRule="auto"/>
        <w:jc w:val="center"/>
        <w:rPr>
          <w:bCs/>
          <w:color w:val="auto"/>
          <w:sz w:val="28"/>
          <w:szCs w:val="28"/>
          <w:highlight w:val="none"/>
        </w:rPr>
      </w:pPr>
      <w:bookmarkStart w:id="281" w:name="_Toc19888"/>
      <w:bookmarkStart w:id="282" w:name="_Toc20966"/>
      <w:r>
        <w:rPr>
          <w:rFonts w:hint="eastAsia"/>
          <w:bCs/>
          <w:color w:val="auto"/>
          <w:sz w:val="28"/>
          <w:szCs w:val="28"/>
          <w:highlight w:val="none"/>
        </w:rPr>
        <w:t>第三部分 技术文件</w:t>
      </w:r>
      <w:bookmarkEnd w:id="281"/>
      <w:bookmarkEnd w:id="282"/>
    </w:p>
    <w:p>
      <w:pPr>
        <w:jc w:val="center"/>
        <w:rPr>
          <w:color w:val="auto"/>
          <w:highlight w:val="none"/>
        </w:rPr>
      </w:pPr>
    </w:p>
    <w:p>
      <w:pPr>
        <w:pStyle w:val="6"/>
        <w:numPr>
          <w:ilvl w:val="0"/>
          <w:numId w:val="19"/>
        </w:numPr>
        <w:jc w:val="center"/>
        <w:rPr>
          <w:color w:val="auto"/>
          <w:highlight w:val="none"/>
        </w:rPr>
      </w:pPr>
      <w:bookmarkStart w:id="283" w:name="_Toc7161"/>
      <w:bookmarkStart w:id="284" w:name="_Toc25949"/>
      <w:bookmarkStart w:id="285" w:name="_Toc31683"/>
      <w:bookmarkStart w:id="286" w:name="_Toc15167"/>
      <w:bookmarkStart w:id="287" w:name="_Toc1852"/>
      <w:bookmarkStart w:id="288" w:name="_Toc9540"/>
      <w:bookmarkStart w:id="289" w:name="_Toc24064"/>
      <w:bookmarkStart w:id="290" w:name="_Toc9579"/>
      <w:bookmarkStart w:id="291" w:name="_Toc28884"/>
      <w:r>
        <w:rPr>
          <w:rFonts w:hint="eastAsia"/>
          <w:color w:val="auto"/>
          <w:highlight w:val="none"/>
        </w:rPr>
        <w:t>技术方案</w:t>
      </w:r>
      <w:bookmarkEnd w:id="283"/>
      <w:bookmarkEnd w:id="284"/>
      <w:bookmarkEnd w:id="285"/>
      <w:bookmarkEnd w:id="286"/>
      <w:bookmarkEnd w:id="287"/>
      <w:bookmarkEnd w:id="288"/>
      <w:bookmarkEnd w:id="289"/>
      <w:bookmarkEnd w:id="290"/>
      <w:bookmarkEnd w:id="291"/>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6"/>
        <w:numPr>
          <w:ilvl w:val="0"/>
          <w:numId w:val="19"/>
        </w:numPr>
        <w:jc w:val="center"/>
        <w:rPr>
          <w:color w:val="auto"/>
          <w:highlight w:val="none"/>
        </w:rPr>
      </w:pPr>
      <w:bookmarkStart w:id="292" w:name="_Toc30049"/>
      <w:bookmarkStart w:id="293" w:name="_Toc9619"/>
      <w:bookmarkStart w:id="294" w:name="_Toc9982"/>
      <w:bookmarkStart w:id="295" w:name="_Toc24947"/>
      <w:bookmarkStart w:id="296" w:name="_Toc28953"/>
      <w:bookmarkStart w:id="297" w:name="_Toc23849"/>
      <w:bookmarkStart w:id="298" w:name="_Toc11036"/>
      <w:bookmarkStart w:id="299" w:name="_Toc12278"/>
      <w:bookmarkStart w:id="300" w:name="_Toc15530"/>
      <w:r>
        <w:rPr>
          <w:rFonts w:hint="eastAsia"/>
          <w:color w:val="auto"/>
          <w:highlight w:val="none"/>
        </w:rPr>
        <w:t>其他资料</w:t>
      </w:r>
      <w:bookmarkEnd w:id="292"/>
      <w:bookmarkEnd w:id="293"/>
      <w:bookmarkEnd w:id="294"/>
      <w:bookmarkEnd w:id="295"/>
      <w:bookmarkEnd w:id="296"/>
      <w:bookmarkEnd w:id="297"/>
      <w:bookmarkEnd w:id="298"/>
      <w:bookmarkEnd w:id="299"/>
      <w:bookmarkEnd w:id="300"/>
    </w:p>
    <w:p>
      <w:pPr>
        <w:pStyle w:val="29"/>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6"/>
        <w:jc w:val="center"/>
        <w:rPr>
          <w:color w:val="auto"/>
          <w:sz w:val="28"/>
          <w:szCs w:val="28"/>
          <w:highlight w:val="none"/>
        </w:rPr>
      </w:pPr>
      <w:bookmarkStart w:id="301"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01"/>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（2）法定代表人证明书原件或正本复印件加盖公章；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（3）法定代表人授权委托书原件或正本复印件加盖公章（法定代表人磋商的除外）；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302"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8"/>
        <w:ind w:firstLine="400"/>
        <w:rPr>
          <w:color w:val="auto"/>
          <w:highlight w:val="none"/>
          <w:lang w:val="zh-CN"/>
        </w:rPr>
      </w:pPr>
    </w:p>
    <w:p>
      <w:pPr>
        <w:pStyle w:val="8"/>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302"/>
    <w:p>
      <w:pPr>
        <w:rPr>
          <w:color w:val="auto"/>
          <w:highlight w:val="none"/>
          <w:lang w:val="zh-CN"/>
        </w:rPr>
      </w:pPr>
    </w:p>
    <w:sectPr>
      <w:headerReference r:id="rId9" w:type="default"/>
      <w:footerReference r:id="rId10" w:type="default"/>
      <w:pgSz w:w="11907" w:h="16840"/>
      <w:pgMar w:top="1440" w:right="1134" w:bottom="1440" w:left="1134" w:header="850" w:footer="720"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思源黑体 CN Regular">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时尚中黑简体">
    <w:altName w:val="黑体"/>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3360" behindDoc="1" locked="0" layoutInCell="1" allowOverlap="1">
          <wp:simplePos x="0" y="0"/>
          <wp:positionH relativeFrom="column">
            <wp:posOffset>3431540</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5"/>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526242A"/>
    <w:multiLevelType w:val="singleLevel"/>
    <w:tmpl w:val="2526242A"/>
    <w:lvl w:ilvl="0" w:tentative="0">
      <w:start w:val="5"/>
      <w:numFmt w:val="decimal"/>
      <w:suff w:val="space"/>
      <w:lvlText w:val="%1、"/>
      <w:lvlJc w:val="left"/>
    </w:lvl>
  </w:abstractNum>
  <w:abstractNum w:abstractNumId="15">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num w:numId="1">
    <w:abstractNumId w:val="8"/>
  </w:num>
  <w:num w:numId="2">
    <w:abstractNumId w:val="15"/>
  </w:num>
  <w:num w:numId="3">
    <w:abstractNumId w:val="16"/>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8"/>
  </w:num>
  <w:num w:numId="16">
    <w:abstractNumId w:val="14"/>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 w:name="KSO_WPS_MARK_KEY" w:val="f3747ee8-fda7-40d7-ac9c-3fd60aacdc8d"/>
  </w:docVars>
  <w:rsids>
    <w:rsidRoot w:val="00172A27"/>
    <w:rsid w:val="00003320"/>
    <w:rsid w:val="00010435"/>
    <w:rsid w:val="0002249C"/>
    <w:rsid w:val="00027890"/>
    <w:rsid w:val="000310C4"/>
    <w:rsid w:val="00036141"/>
    <w:rsid w:val="00055CD6"/>
    <w:rsid w:val="00060BFF"/>
    <w:rsid w:val="000656BF"/>
    <w:rsid w:val="000726A3"/>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5865"/>
    <w:rsid w:val="00216ABC"/>
    <w:rsid w:val="002172C9"/>
    <w:rsid w:val="00265319"/>
    <w:rsid w:val="00267764"/>
    <w:rsid w:val="00270A95"/>
    <w:rsid w:val="002877C1"/>
    <w:rsid w:val="002908F6"/>
    <w:rsid w:val="00291FAB"/>
    <w:rsid w:val="002C0888"/>
    <w:rsid w:val="002C53F2"/>
    <w:rsid w:val="002D14E4"/>
    <w:rsid w:val="002D687C"/>
    <w:rsid w:val="002E58AE"/>
    <w:rsid w:val="003537B6"/>
    <w:rsid w:val="00354336"/>
    <w:rsid w:val="003613BD"/>
    <w:rsid w:val="00376337"/>
    <w:rsid w:val="003824C3"/>
    <w:rsid w:val="00386EAC"/>
    <w:rsid w:val="00391ED7"/>
    <w:rsid w:val="00393E42"/>
    <w:rsid w:val="003A2560"/>
    <w:rsid w:val="003A615F"/>
    <w:rsid w:val="003C228D"/>
    <w:rsid w:val="003C2F31"/>
    <w:rsid w:val="00414870"/>
    <w:rsid w:val="004207FB"/>
    <w:rsid w:val="0044257A"/>
    <w:rsid w:val="0045071E"/>
    <w:rsid w:val="0046288B"/>
    <w:rsid w:val="00465BC3"/>
    <w:rsid w:val="00473DA1"/>
    <w:rsid w:val="004D1919"/>
    <w:rsid w:val="004D2652"/>
    <w:rsid w:val="005063C4"/>
    <w:rsid w:val="005471BA"/>
    <w:rsid w:val="00553F3A"/>
    <w:rsid w:val="00555F92"/>
    <w:rsid w:val="00563F71"/>
    <w:rsid w:val="00585BAB"/>
    <w:rsid w:val="005A06DF"/>
    <w:rsid w:val="005B5633"/>
    <w:rsid w:val="005B5C14"/>
    <w:rsid w:val="005C7F93"/>
    <w:rsid w:val="005F37C4"/>
    <w:rsid w:val="006023DD"/>
    <w:rsid w:val="006071A1"/>
    <w:rsid w:val="00636A66"/>
    <w:rsid w:val="00637720"/>
    <w:rsid w:val="006421D2"/>
    <w:rsid w:val="00643C95"/>
    <w:rsid w:val="006529BE"/>
    <w:rsid w:val="00661DDF"/>
    <w:rsid w:val="00675141"/>
    <w:rsid w:val="006A72F4"/>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13E25"/>
    <w:rsid w:val="00821042"/>
    <w:rsid w:val="00821BD7"/>
    <w:rsid w:val="00823A4E"/>
    <w:rsid w:val="00831E15"/>
    <w:rsid w:val="00835AD1"/>
    <w:rsid w:val="00843927"/>
    <w:rsid w:val="00844B64"/>
    <w:rsid w:val="00847835"/>
    <w:rsid w:val="008700A2"/>
    <w:rsid w:val="008A0878"/>
    <w:rsid w:val="008B5078"/>
    <w:rsid w:val="008B52E4"/>
    <w:rsid w:val="008C4084"/>
    <w:rsid w:val="008C4968"/>
    <w:rsid w:val="008D2C58"/>
    <w:rsid w:val="008E129D"/>
    <w:rsid w:val="008E37B0"/>
    <w:rsid w:val="008E464C"/>
    <w:rsid w:val="008E4970"/>
    <w:rsid w:val="009009BC"/>
    <w:rsid w:val="00904619"/>
    <w:rsid w:val="00915F7F"/>
    <w:rsid w:val="00921891"/>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158F"/>
    <w:rsid w:val="00AA7D8C"/>
    <w:rsid w:val="00AB4015"/>
    <w:rsid w:val="00AF6912"/>
    <w:rsid w:val="00B04B0E"/>
    <w:rsid w:val="00B16495"/>
    <w:rsid w:val="00B225FD"/>
    <w:rsid w:val="00B248DA"/>
    <w:rsid w:val="00B50EA0"/>
    <w:rsid w:val="00B71A50"/>
    <w:rsid w:val="00B74DE3"/>
    <w:rsid w:val="00B80D89"/>
    <w:rsid w:val="00B818AE"/>
    <w:rsid w:val="00B93F2F"/>
    <w:rsid w:val="00B96173"/>
    <w:rsid w:val="00BB48AD"/>
    <w:rsid w:val="00BB6F89"/>
    <w:rsid w:val="00BC02E2"/>
    <w:rsid w:val="00BE779E"/>
    <w:rsid w:val="00BF09ED"/>
    <w:rsid w:val="00BF1BFA"/>
    <w:rsid w:val="00BF27E1"/>
    <w:rsid w:val="00C00F5A"/>
    <w:rsid w:val="00C16CB7"/>
    <w:rsid w:val="00C25C61"/>
    <w:rsid w:val="00C40AF8"/>
    <w:rsid w:val="00C41180"/>
    <w:rsid w:val="00C44A4B"/>
    <w:rsid w:val="00C5753E"/>
    <w:rsid w:val="00C61390"/>
    <w:rsid w:val="00C62932"/>
    <w:rsid w:val="00C9047D"/>
    <w:rsid w:val="00C9061D"/>
    <w:rsid w:val="00C92155"/>
    <w:rsid w:val="00C97323"/>
    <w:rsid w:val="00CB45F9"/>
    <w:rsid w:val="00CC3CDE"/>
    <w:rsid w:val="00CD0AE3"/>
    <w:rsid w:val="00CD3B80"/>
    <w:rsid w:val="00CE7558"/>
    <w:rsid w:val="00D17FB1"/>
    <w:rsid w:val="00D31F0D"/>
    <w:rsid w:val="00D34EDF"/>
    <w:rsid w:val="00D35C22"/>
    <w:rsid w:val="00D36ECB"/>
    <w:rsid w:val="00D954DE"/>
    <w:rsid w:val="00DB7E8A"/>
    <w:rsid w:val="00DC735D"/>
    <w:rsid w:val="00DE49C8"/>
    <w:rsid w:val="00DF0CE0"/>
    <w:rsid w:val="00E0032D"/>
    <w:rsid w:val="00E023D0"/>
    <w:rsid w:val="00E1594B"/>
    <w:rsid w:val="00E419FA"/>
    <w:rsid w:val="00E438D2"/>
    <w:rsid w:val="00E53F8C"/>
    <w:rsid w:val="00E61200"/>
    <w:rsid w:val="00E63FBE"/>
    <w:rsid w:val="00E678C7"/>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0C3F"/>
    <w:rsid w:val="00F53394"/>
    <w:rsid w:val="00F54AFB"/>
    <w:rsid w:val="00F67D80"/>
    <w:rsid w:val="00F718C6"/>
    <w:rsid w:val="00FC4DD8"/>
    <w:rsid w:val="00FD40C9"/>
    <w:rsid w:val="01016788"/>
    <w:rsid w:val="010B18A0"/>
    <w:rsid w:val="01101FD4"/>
    <w:rsid w:val="013511BC"/>
    <w:rsid w:val="01412E8D"/>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96442E"/>
    <w:rsid w:val="03C53166"/>
    <w:rsid w:val="03E3700D"/>
    <w:rsid w:val="03EA5C90"/>
    <w:rsid w:val="0437435F"/>
    <w:rsid w:val="043948C2"/>
    <w:rsid w:val="0441683D"/>
    <w:rsid w:val="04755FE3"/>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2B60AC"/>
    <w:rsid w:val="074D0B91"/>
    <w:rsid w:val="07667537"/>
    <w:rsid w:val="076D6168"/>
    <w:rsid w:val="076F789A"/>
    <w:rsid w:val="07767BC9"/>
    <w:rsid w:val="0784472B"/>
    <w:rsid w:val="079B0031"/>
    <w:rsid w:val="079F5559"/>
    <w:rsid w:val="07B55B45"/>
    <w:rsid w:val="07E16810"/>
    <w:rsid w:val="08091249"/>
    <w:rsid w:val="08213B81"/>
    <w:rsid w:val="084C0B9D"/>
    <w:rsid w:val="0873640D"/>
    <w:rsid w:val="08783888"/>
    <w:rsid w:val="08AE00F7"/>
    <w:rsid w:val="08C30F20"/>
    <w:rsid w:val="08D23011"/>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DFF5312"/>
    <w:rsid w:val="0E30061A"/>
    <w:rsid w:val="0E6759EA"/>
    <w:rsid w:val="0E693E94"/>
    <w:rsid w:val="0EAB15DF"/>
    <w:rsid w:val="0EB71B66"/>
    <w:rsid w:val="0EBD4ECC"/>
    <w:rsid w:val="0EC12B61"/>
    <w:rsid w:val="0ECB16D0"/>
    <w:rsid w:val="0F0F3E67"/>
    <w:rsid w:val="0F36681E"/>
    <w:rsid w:val="0F554B61"/>
    <w:rsid w:val="0F684139"/>
    <w:rsid w:val="0FA658B8"/>
    <w:rsid w:val="0FA725F9"/>
    <w:rsid w:val="0FB125A0"/>
    <w:rsid w:val="0FB65B96"/>
    <w:rsid w:val="0FE00F50"/>
    <w:rsid w:val="0FF36F52"/>
    <w:rsid w:val="0FF75B36"/>
    <w:rsid w:val="1007384E"/>
    <w:rsid w:val="107962EB"/>
    <w:rsid w:val="107D7A08"/>
    <w:rsid w:val="10C4053D"/>
    <w:rsid w:val="10D064F7"/>
    <w:rsid w:val="10D24A7B"/>
    <w:rsid w:val="10D763F7"/>
    <w:rsid w:val="10DA580F"/>
    <w:rsid w:val="10DF7BBC"/>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3E5646"/>
    <w:rsid w:val="15457698"/>
    <w:rsid w:val="154A5906"/>
    <w:rsid w:val="155558C2"/>
    <w:rsid w:val="158A75E1"/>
    <w:rsid w:val="1592511B"/>
    <w:rsid w:val="159C567E"/>
    <w:rsid w:val="15A520DA"/>
    <w:rsid w:val="15C0221F"/>
    <w:rsid w:val="15D77617"/>
    <w:rsid w:val="15D85E33"/>
    <w:rsid w:val="15E6513C"/>
    <w:rsid w:val="15E819C1"/>
    <w:rsid w:val="15F115F9"/>
    <w:rsid w:val="15F81571"/>
    <w:rsid w:val="161124BB"/>
    <w:rsid w:val="16342A03"/>
    <w:rsid w:val="16554F68"/>
    <w:rsid w:val="165B5F0F"/>
    <w:rsid w:val="166320D6"/>
    <w:rsid w:val="166C4896"/>
    <w:rsid w:val="166F63C7"/>
    <w:rsid w:val="167B7AAC"/>
    <w:rsid w:val="167D7231"/>
    <w:rsid w:val="169140C1"/>
    <w:rsid w:val="169B4AF9"/>
    <w:rsid w:val="16B43498"/>
    <w:rsid w:val="16C84A74"/>
    <w:rsid w:val="16DB0595"/>
    <w:rsid w:val="16DF2F08"/>
    <w:rsid w:val="16E051E8"/>
    <w:rsid w:val="16ED26EB"/>
    <w:rsid w:val="17066EDE"/>
    <w:rsid w:val="1713214D"/>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C24BC"/>
    <w:rsid w:val="1CDF7A06"/>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A7809"/>
    <w:rsid w:val="1FEB5C6A"/>
    <w:rsid w:val="202209B9"/>
    <w:rsid w:val="20280066"/>
    <w:rsid w:val="202C0E96"/>
    <w:rsid w:val="20304AD2"/>
    <w:rsid w:val="203B6599"/>
    <w:rsid w:val="204151AF"/>
    <w:rsid w:val="204F6722"/>
    <w:rsid w:val="20902778"/>
    <w:rsid w:val="20AF30C4"/>
    <w:rsid w:val="20C20F88"/>
    <w:rsid w:val="20FD5C7C"/>
    <w:rsid w:val="21096CBA"/>
    <w:rsid w:val="2115662C"/>
    <w:rsid w:val="211E06F8"/>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9F39ED"/>
    <w:rsid w:val="23AE10BA"/>
    <w:rsid w:val="23E56B32"/>
    <w:rsid w:val="24142B46"/>
    <w:rsid w:val="24183F62"/>
    <w:rsid w:val="241D037F"/>
    <w:rsid w:val="2433149D"/>
    <w:rsid w:val="246270E4"/>
    <w:rsid w:val="24772C2B"/>
    <w:rsid w:val="247D1280"/>
    <w:rsid w:val="248B2E3F"/>
    <w:rsid w:val="24DF22D5"/>
    <w:rsid w:val="25241FCD"/>
    <w:rsid w:val="254E1169"/>
    <w:rsid w:val="257008BE"/>
    <w:rsid w:val="258A0443"/>
    <w:rsid w:val="25E86FC2"/>
    <w:rsid w:val="260C3AE7"/>
    <w:rsid w:val="261B35E2"/>
    <w:rsid w:val="261D7A35"/>
    <w:rsid w:val="263A612D"/>
    <w:rsid w:val="2646532D"/>
    <w:rsid w:val="26483965"/>
    <w:rsid w:val="26684108"/>
    <w:rsid w:val="268B0B22"/>
    <w:rsid w:val="26906F25"/>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261D0F"/>
    <w:rsid w:val="2838738D"/>
    <w:rsid w:val="28493C9E"/>
    <w:rsid w:val="286F250E"/>
    <w:rsid w:val="287D2504"/>
    <w:rsid w:val="2886147E"/>
    <w:rsid w:val="289D43CF"/>
    <w:rsid w:val="28A87389"/>
    <w:rsid w:val="28AA00DD"/>
    <w:rsid w:val="28AB0694"/>
    <w:rsid w:val="28AE6A69"/>
    <w:rsid w:val="28B81772"/>
    <w:rsid w:val="290A4DA8"/>
    <w:rsid w:val="291176CC"/>
    <w:rsid w:val="291C67BC"/>
    <w:rsid w:val="29503AAE"/>
    <w:rsid w:val="29573123"/>
    <w:rsid w:val="297F7A53"/>
    <w:rsid w:val="2992095F"/>
    <w:rsid w:val="29A906D1"/>
    <w:rsid w:val="29AC6651"/>
    <w:rsid w:val="29C4608A"/>
    <w:rsid w:val="29E769C8"/>
    <w:rsid w:val="29F21662"/>
    <w:rsid w:val="29F51AC1"/>
    <w:rsid w:val="29F51D07"/>
    <w:rsid w:val="29FC30C2"/>
    <w:rsid w:val="2A003316"/>
    <w:rsid w:val="2A105129"/>
    <w:rsid w:val="2A406B43"/>
    <w:rsid w:val="2A6D3E9B"/>
    <w:rsid w:val="2A706411"/>
    <w:rsid w:val="2A783D0E"/>
    <w:rsid w:val="2A9C0461"/>
    <w:rsid w:val="2AC24147"/>
    <w:rsid w:val="2AD0515C"/>
    <w:rsid w:val="2AE8528D"/>
    <w:rsid w:val="2AF16E8B"/>
    <w:rsid w:val="2B0B7CEC"/>
    <w:rsid w:val="2B27452A"/>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5D7AA7"/>
    <w:rsid w:val="2D994DBE"/>
    <w:rsid w:val="2DD53F02"/>
    <w:rsid w:val="2E0A0263"/>
    <w:rsid w:val="2E73484D"/>
    <w:rsid w:val="2E734C4D"/>
    <w:rsid w:val="2E9A7164"/>
    <w:rsid w:val="2ED21188"/>
    <w:rsid w:val="2EE1137A"/>
    <w:rsid w:val="2EE6759F"/>
    <w:rsid w:val="2EEB0819"/>
    <w:rsid w:val="2F010E90"/>
    <w:rsid w:val="2F0C69E6"/>
    <w:rsid w:val="2F0D5CED"/>
    <w:rsid w:val="2F16689C"/>
    <w:rsid w:val="2F236129"/>
    <w:rsid w:val="2F2C56BA"/>
    <w:rsid w:val="2F2D0218"/>
    <w:rsid w:val="2F356A16"/>
    <w:rsid w:val="2F4614DA"/>
    <w:rsid w:val="2F636A54"/>
    <w:rsid w:val="2F7E3ACA"/>
    <w:rsid w:val="2FA00DAE"/>
    <w:rsid w:val="30081603"/>
    <w:rsid w:val="30420830"/>
    <w:rsid w:val="30443F09"/>
    <w:rsid w:val="309C224F"/>
    <w:rsid w:val="30DE4C10"/>
    <w:rsid w:val="31190489"/>
    <w:rsid w:val="311C3987"/>
    <w:rsid w:val="31232963"/>
    <w:rsid w:val="315857B1"/>
    <w:rsid w:val="31650177"/>
    <w:rsid w:val="31AB6658"/>
    <w:rsid w:val="31BC3F1B"/>
    <w:rsid w:val="31C37B9C"/>
    <w:rsid w:val="31EA7F55"/>
    <w:rsid w:val="32096C48"/>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3E97760"/>
    <w:rsid w:val="341D5AAB"/>
    <w:rsid w:val="342732F1"/>
    <w:rsid w:val="342B2E3E"/>
    <w:rsid w:val="3454463B"/>
    <w:rsid w:val="346B507B"/>
    <w:rsid w:val="347A0A28"/>
    <w:rsid w:val="347B293F"/>
    <w:rsid w:val="348C37FE"/>
    <w:rsid w:val="34AA4F73"/>
    <w:rsid w:val="34BD6981"/>
    <w:rsid w:val="34F52FDD"/>
    <w:rsid w:val="352B6C5A"/>
    <w:rsid w:val="35520294"/>
    <w:rsid w:val="35756D52"/>
    <w:rsid w:val="357A04F1"/>
    <w:rsid w:val="357C1D84"/>
    <w:rsid w:val="35887A53"/>
    <w:rsid w:val="35AF4576"/>
    <w:rsid w:val="35B4397E"/>
    <w:rsid w:val="35BF575B"/>
    <w:rsid w:val="36034EE1"/>
    <w:rsid w:val="36237D2D"/>
    <w:rsid w:val="363503EB"/>
    <w:rsid w:val="3647637B"/>
    <w:rsid w:val="367F686D"/>
    <w:rsid w:val="36A14C50"/>
    <w:rsid w:val="36B412F5"/>
    <w:rsid w:val="36B66A91"/>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B87080"/>
    <w:rsid w:val="37C914D9"/>
    <w:rsid w:val="37D63EC9"/>
    <w:rsid w:val="37F02038"/>
    <w:rsid w:val="38280519"/>
    <w:rsid w:val="386D019E"/>
    <w:rsid w:val="38760FB5"/>
    <w:rsid w:val="388436B1"/>
    <w:rsid w:val="38894B13"/>
    <w:rsid w:val="38A42A5B"/>
    <w:rsid w:val="38C10BFB"/>
    <w:rsid w:val="38DD791D"/>
    <w:rsid w:val="3920221B"/>
    <w:rsid w:val="39334BFF"/>
    <w:rsid w:val="393667C3"/>
    <w:rsid w:val="39457CAF"/>
    <w:rsid w:val="3948048E"/>
    <w:rsid w:val="397A3C9F"/>
    <w:rsid w:val="39812B9C"/>
    <w:rsid w:val="39B565E1"/>
    <w:rsid w:val="39D4235F"/>
    <w:rsid w:val="39FD6163"/>
    <w:rsid w:val="3A257802"/>
    <w:rsid w:val="3A606A76"/>
    <w:rsid w:val="3A921749"/>
    <w:rsid w:val="3AA81B41"/>
    <w:rsid w:val="3B143086"/>
    <w:rsid w:val="3B1A2D8C"/>
    <w:rsid w:val="3B2A2B14"/>
    <w:rsid w:val="3B4042AB"/>
    <w:rsid w:val="3B66210B"/>
    <w:rsid w:val="3B814E71"/>
    <w:rsid w:val="3B972AF7"/>
    <w:rsid w:val="3BB62FA9"/>
    <w:rsid w:val="3BB70D15"/>
    <w:rsid w:val="3BBB09FC"/>
    <w:rsid w:val="3BC91BB9"/>
    <w:rsid w:val="3C0470A6"/>
    <w:rsid w:val="3C120308"/>
    <w:rsid w:val="3C42650A"/>
    <w:rsid w:val="3C762DF2"/>
    <w:rsid w:val="3C7D1D40"/>
    <w:rsid w:val="3C9B51F8"/>
    <w:rsid w:val="3CDD0DBD"/>
    <w:rsid w:val="3D101034"/>
    <w:rsid w:val="3D3F0905"/>
    <w:rsid w:val="3D544EBB"/>
    <w:rsid w:val="3D882CF1"/>
    <w:rsid w:val="3D9814F2"/>
    <w:rsid w:val="3DE32AFA"/>
    <w:rsid w:val="3DFB2E61"/>
    <w:rsid w:val="3E0456CC"/>
    <w:rsid w:val="3E136ED4"/>
    <w:rsid w:val="3E236193"/>
    <w:rsid w:val="3E2726B6"/>
    <w:rsid w:val="3E8A1A02"/>
    <w:rsid w:val="3E8E765E"/>
    <w:rsid w:val="3EA9393D"/>
    <w:rsid w:val="3EAD0498"/>
    <w:rsid w:val="3EB16DB1"/>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0F6636B"/>
    <w:rsid w:val="410F31C3"/>
    <w:rsid w:val="4112553B"/>
    <w:rsid w:val="41344AAB"/>
    <w:rsid w:val="41550C30"/>
    <w:rsid w:val="41875FCE"/>
    <w:rsid w:val="4190424D"/>
    <w:rsid w:val="41BA6E78"/>
    <w:rsid w:val="41F6399A"/>
    <w:rsid w:val="41F94DC7"/>
    <w:rsid w:val="41FA3A29"/>
    <w:rsid w:val="42137C42"/>
    <w:rsid w:val="422E57D7"/>
    <w:rsid w:val="42513EA4"/>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5EE32D7"/>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E0EB1"/>
    <w:rsid w:val="48A4548A"/>
    <w:rsid w:val="48A57E1F"/>
    <w:rsid w:val="48B50D92"/>
    <w:rsid w:val="48D80297"/>
    <w:rsid w:val="48DE3BBF"/>
    <w:rsid w:val="48E77164"/>
    <w:rsid w:val="491D19DF"/>
    <w:rsid w:val="49304CB2"/>
    <w:rsid w:val="496F6EBE"/>
    <w:rsid w:val="49814F4C"/>
    <w:rsid w:val="49A364F7"/>
    <w:rsid w:val="49B42429"/>
    <w:rsid w:val="49C4569B"/>
    <w:rsid w:val="49CB304D"/>
    <w:rsid w:val="4A074043"/>
    <w:rsid w:val="4A090DC7"/>
    <w:rsid w:val="4A091441"/>
    <w:rsid w:val="4A14567E"/>
    <w:rsid w:val="4A1E6180"/>
    <w:rsid w:val="4A2308FE"/>
    <w:rsid w:val="4A287AB1"/>
    <w:rsid w:val="4A5133EE"/>
    <w:rsid w:val="4A5D4EF8"/>
    <w:rsid w:val="4A915C19"/>
    <w:rsid w:val="4A955A49"/>
    <w:rsid w:val="4A9C5501"/>
    <w:rsid w:val="4AAF7BD4"/>
    <w:rsid w:val="4AD80F53"/>
    <w:rsid w:val="4B1675D3"/>
    <w:rsid w:val="4B2C75A6"/>
    <w:rsid w:val="4B2F25FD"/>
    <w:rsid w:val="4BB15678"/>
    <w:rsid w:val="4BB635D2"/>
    <w:rsid w:val="4BB76960"/>
    <w:rsid w:val="4BD03593"/>
    <w:rsid w:val="4BD63363"/>
    <w:rsid w:val="4BD87666"/>
    <w:rsid w:val="4BE6691C"/>
    <w:rsid w:val="4BF467F9"/>
    <w:rsid w:val="4BF83E44"/>
    <w:rsid w:val="4C276C17"/>
    <w:rsid w:val="4C73767A"/>
    <w:rsid w:val="4C7C0669"/>
    <w:rsid w:val="4C7D0871"/>
    <w:rsid w:val="4C850277"/>
    <w:rsid w:val="4C9904F2"/>
    <w:rsid w:val="4CE77EF5"/>
    <w:rsid w:val="4D2572CD"/>
    <w:rsid w:val="4D354FF0"/>
    <w:rsid w:val="4D4C32B8"/>
    <w:rsid w:val="4D7B3BE4"/>
    <w:rsid w:val="4DBB048A"/>
    <w:rsid w:val="4DDF6BB7"/>
    <w:rsid w:val="4DE07DE4"/>
    <w:rsid w:val="4E0D5D14"/>
    <w:rsid w:val="4E2F45C0"/>
    <w:rsid w:val="4E363F2F"/>
    <w:rsid w:val="4E891FEA"/>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8627FB"/>
    <w:rsid w:val="4F9E59ED"/>
    <w:rsid w:val="4FDC58FD"/>
    <w:rsid w:val="4FDE1C0C"/>
    <w:rsid w:val="4FE54A2D"/>
    <w:rsid w:val="50202BC7"/>
    <w:rsid w:val="50216FE4"/>
    <w:rsid w:val="502D2C76"/>
    <w:rsid w:val="50351050"/>
    <w:rsid w:val="50614DD7"/>
    <w:rsid w:val="506B628A"/>
    <w:rsid w:val="50787CFE"/>
    <w:rsid w:val="50AE1AE4"/>
    <w:rsid w:val="50C201CE"/>
    <w:rsid w:val="50FE2631"/>
    <w:rsid w:val="51151D83"/>
    <w:rsid w:val="51167E7F"/>
    <w:rsid w:val="51390032"/>
    <w:rsid w:val="515426DE"/>
    <w:rsid w:val="515C74D2"/>
    <w:rsid w:val="51652C0F"/>
    <w:rsid w:val="518D4538"/>
    <w:rsid w:val="51960DFD"/>
    <w:rsid w:val="51BB2BF3"/>
    <w:rsid w:val="51C5245D"/>
    <w:rsid w:val="51FD0367"/>
    <w:rsid w:val="52377D55"/>
    <w:rsid w:val="525F7483"/>
    <w:rsid w:val="528128B1"/>
    <w:rsid w:val="52862351"/>
    <w:rsid w:val="52984624"/>
    <w:rsid w:val="52E8772C"/>
    <w:rsid w:val="52F10B24"/>
    <w:rsid w:val="532A7B4A"/>
    <w:rsid w:val="534A2585"/>
    <w:rsid w:val="53921453"/>
    <w:rsid w:val="539D3FE2"/>
    <w:rsid w:val="53A03056"/>
    <w:rsid w:val="53A31787"/>
    <w:rsid w:val="53D7503B"/>
    <w:rsid w:val="53E637C7"/>
    <w:rsid w:val="53E8647E"/>
    <w:rsid w:val="53F45929"/>
    <w:rsid w:val="53FC0907"/>
    <w:rsid w:val="5436747F"/>
    <w:rsid w:val="5468198B"/>
    <w:rsid w:val="54951AB4"/>
    <w:rsid w:val="549A0B06"/>
    <w:rsid w:val="54A655A6"/>
    <w:rsid w:val="54D53B13"/>
    <w:rsid w:val="54EB74E4"/>
    <w:rsid w:val="54EC3D1D"/>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6EB5A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7B6EDD"/>
    <w:rsid w:val="5D806796"/>
    <w:rsid w:val="5D827D40"/>
    <w:rsid w:val="5DC43C07"/>
    <w:rsid w:val="5DCA3A55"/>
    <w:rsid w:val="5DCD3255"/>
    <w:rsid w:val="5E297761"/>
    <w:rsid w:val="5E33770D"/>
    <w:rsid w:val="5E532ADD"/>
    <w:rsid w:val="5E610B28"/>
    <w:rsid w:val="5E66579C"/>
    <w:rsid w:val="5E91320F"/>
    <w:rsid w:val="5E915A7A"/>
    <w:rsid w:val="5EA33A97"/>
    <w:rsid w:val="5ED134B6"/>
    <w:rsid w:val="5EF55DBA"/>
    <w:rsid w:val="5F6B1358"/>
    <w:rsid w:val="5FA016B7"/>
    <w:rsid w:val="5FC51458"/>
    <w:rsid w:val="5FC866E5"/>
    <w:rsid w:val="5FDC13D8"/>
    <w:rsid w:val="60090629"/>
    <w:rsid w:val="60413F7F"/>
    <w:rsid w:val="60660F52"/>
    <w:rsid w:val="606A3C6B"/>
    <w:rsid w:val="609B5019"/>
    <w:rsid w:val="60B0579D"/>
    <w:rsid w:val="60B4769E"/>
    <w:rsid w:val="60EF13AE"/>
    <w:rsid w:val="610242F6"/>
    <w:rsid w:val="6119401A"/>
    <w:rsid w:val="611D2CA6"/>
    <w:rsid w:val="61200642"/>
    <w:rsid w:val="61257267"/>
    <w:rsid w:val="61652DB1"/>
    <w:rsid w:val="61970BE7"/>
    <w:rsid w:val="61A20E5D"/>
    <w:rsid w:val="61F17268"/>
    <w:rsid w:val="61FC7432"/>
    <w:rsid w:val="620A3859"/>
    <w:rsid w:val="62204E0F"/>
    <w:rsid w:val="62207D5C"/>
    <w:rsid w:val="624063A3"/>
    <w:rsid w:val="62533606"/>
    <w:rsid w:val="62845968"/>
    <w:rsid w:val="62A86B6F"/>
    <w:rsid w:val="62B35B81"/>
    <w:rsid w:val="62B75EDD"/>
    <w:rsid w:val="62C01D55"/>
    <w:rsid w:val="62C92F2D"/>
    <w:rsid w:val="62D93169"/>
    <w:rsid w:val="62E40282"/>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7F18FA"/>
    <w:rsid w:val="669A5886"/>
    <w:rsid w:val="66BF54E4"/>
    <w:rsid w:val="67101119"/>
    <w:rsid w:val="67151BB5"/>
    <w:rsid w:val="671C67EA"/>
    <w:rsid w:val="67400D4D"/>
    <w:rsid w:val="677A414A"/>
    <w:rsid w:val="678C39FD"/>
    <w:rsid w:val="67C952B3"/>
    <w:rsid w:val="67DB4341"/>
    <w:rsid w:val="67EC0DA3"/>
    <w:rsid w:val="68720AE2"/>
    <w:rsid w:val="689554F5"/>
    <w:rsid w:val="68AA7215"/>
    <w:rsid w:val="68ED6911"/>
    <w:rsid w:val="6903642B"/>
    <w:rsid w:val="690F1870"/>
    <w:rsid w:val="692F5E27"/>
    <w:rsid w:val="69466675"/>
    <w:rsid w:val="698C2B7F"/>
    <w:rsid w:val="69AB5D7A"/>
    <w:rsid w:val="69F21353"/>
    <w:rsid w:val="69F575F2"/>
    <w:rsid w:val="6A4C7335"/>
    <w:rsid w:val="6A531E39"/>
    <w:rsid w:val="6A545ADB"/>
    <w:rsid w:val="6A5D05BD"/>
    <w:rsid w:val="6A6B273C"/>
    <w:rsid w:val="6A703222"/>
    <w:rsid w:val="6AAA18E6"/>
    <w:rsid w:val="6AC938A9"/>
    <w:rsid w:val="6B2F05BC"/>
    <w:rsid w:val="6B435167"/>
    <w:rsid w:val="6B9C7CD8"/>
    <w:rsid w:val="6BB237C9"/>
    <w:rsid w:val="6BB37104"/>
    <w:rsid w:val="6BDF1336"/>
    <w:rsid w:val="6C3161F1"/>
    <w:rsid w:val="6C3745DF"/>
    <w:rsid w:val="6C3D4127"/>
    <w:rsid w:val="6C6253EB"/>
    <w:rsid w:val="6C666B72"/>
    <w:rsid w:val="6C8F3EF6"/>
    <w:rsid w:val="6CAD55CC"/>
    <w:rsid w:val="6CBE1616"/>
    <w:rsid w:val="6CC15F94"/>
    <w:rsid w:val="6CDA118A"/>
    <w:rsid w:val="6D0C01A9"/>
    <w:rsid w:val="6D2A44DD"/>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9A4CA5"/>
    <w:rsid w:val="6FBC6483"/>
    <w:rsid w:val="6FC130A1"/>
    <w:rsid w:val="6FC26F58"/>
    <w:rsid w:val="6FD761EC"/>
    <w:rsid w:val="6FE52312"/>
    <w:rsid w:val="6FF1085F"/>
    <w:rsid w:val="700F6510"/>
    <w:rsid w:val="703F410F"/>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61FD2"/>
    <w:rsid w:val="729D5E1F"/>
    <w:rsid w:val="72E72EAA"/>
    <w:rsid w:val="72F27051"/>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4F658E"/>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512EE8"/>
    <w:rsid w:val="767A6C09"/>
    <w:rsid w:val="76880BA0"/>
    <w:rsid w:val="76885BC7"/>
    <w:rsid w:val="768C19C1"/>
    <w:rsid w:val="768C2564"/>
    <w:rsid w:val="76991D18"/>
    <w:rsid w:val="76BA43D5"/>
    <w:rsid w:val="76BE21DC"/>
    <w:rsid w:val="76CD5B13"/>
    <w:rsid w:val="76DB2C5B"/>
    <w:rsid w:val="76DF3C76"/>
    <w:rsid w:val="76EB41A9"/>
    <w:rsid w:val="76F71295"/>
    <w:rsid w:val="76FC2CE2"/>
    <w:rsid w:val="7706359E"/>
    <w:rsid w:val="771A5653"/>
    <w:rsid w:val="771B5FB2"/>
    <w:rsid w:val="772A75AD"/>
    <w:rsid w:val="7734542F"/>
    <w:rsid w:val="774073C9"/>
    <w:rsid w:val="77460079"/>
    <w:rsid w:val="77567D26"/>
    <w:rsid w:val="77574E5D"/>
    <w:rsid w:val="775D2B17"/>
    <w:rsid w:val="7760235E"/>
    <w:rsid w:val="777D4FBC"/>
    <w:rsid w:val="77C64121"/>
    <w:rsid w:val="77CD3C5D"/>
    <w:rsid w:val="77FD4667"/>
    <w:rsid w:val="781200C6"/>
    <w:rsid w:val="78150104"/>
    <w:rsid w:val="786B1829"/>
    <w:rsid w:val="78C7234E"/>
    <w:rsid w:val="791063B8"/>
    <w:rsid w:val="79235A1B"/>
    <w:rsid w:val="793E7F2E"/>
    <w:rsid w:val="796362D3"/>
    <w:rsid w:val="79827C27"/>
    <w:rsid w:val="798834D2"/>
    <w:rsid w:val="799B7D73"/>
    <w:rsid w:val="79B07BB3"/>
    <w:rsid w:val="79B7369F"/>
    <w:rsid w:val="79D510F0"/>
    <w:rsid w:val="79ED59B1"/>
    <w:rsid w:val="79F56CDC"/>
    <w:rsid w:val="7A032271"/>
    <w:rsid w:val="7A18609E"/>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832034"/>
    <w:rsid w:val="7BA57F90"/>
    <w:rsid w:val="7BBC18FF"/>
    <w:rsid w:val="7C100290"/>
    <w:rsid w:val="7C151FE3"/>
    <w:rsid w:val="7C1D63E0"/>
    <w:rsid w:val="7C2925EF"/>
    <w:rsid w:val="7C463AF9"/>
    <w:rsid w:val="7C691C0E"/>
    <w:rsid w:val="7C7654E0"/>
    <w:rsid w:val="7C896BD7"/>
    <w:rsid w:val="7C9D56FC"/>
    <w:rsid w:val="7C9E2AE3"/>
    <w:rsid w:val="7CA34E3A"/>
    <w:rsid w:val="7CDE5607"/>
    <w:rsid w:val="7CEA530F"/>
    <w:rsid w:val="7D0D23F8"/>
    <w:rsid w:val="7D1819A4"/>
    <w:rsid w:val="7D57537E"/>
    <w:rsid w:val="7D657DFF"/>
    <w:rsid w:val="7D79413D"/>
    <w:rsid w:val="7D872924"/>
    <w:rsid w:val="7D8F5F9C"/>
    <w:rsid w:val="7D97637C"/>
    <w:rsid w:val="7E180A37"/>
    <w:rsid w:val="7E252BD1"/>
    <w:rsid w:val="7E2D4483"/>
    <w:rsid w:val="7E327A3B"/>
    <w:rsid w:val="7E36681D"/>
    <w:rsid w:val="7E621BA9"/>
    <w:rsid w:val="7E665892"/>
    <w:rsid w:val="7E782BA9"/>
    <w:rsid w:val="7E9213CC"/>
    <w:rsid w:val="7EA926FF"/>
    <w:rsid w:val="7EAA18EA"/>
    <w:rsid w:val="7EC93E9C"/>
    <w:rsid w:val="7EF33F65"/>
    <w:rsid w:val="7EF82FEA"/>
    <w:rsid w:val="7EFA1C61"/>
    <w:rsid w:val="7F0300DD"/>
    <w:rsid w:val="7F4721CC"/>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0"/>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8"/>
    <w:qFormat/>
    <w:uiPriority w:val="0"/>
    <w:pPr>
      <w:outlineLvl w:val="2"/>
    </w:p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1">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2">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3">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4">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next w:val="4"/>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cs="Calibri"/>
      <w:sz w:val="18"/>
      <w:szCs w:val="18"/>
    </w:rPr>
  </w:style>
  <w:style w:type="paragraph" w:styleId="8">
    <w:name w:val="Normal Indent"/>
    <w:basedOn w:val="1"/>
    <w:link w:val="76"/>
    <w:qFormat/>
    <w:uiPriority w:val="0"/>
    <w:pPr>
      <w:widowControl/>
      <w:autoSpaceDE/>
      <w:autoSpaceDN/>
      <w:adjustRightInd/>
      <w:ind w:firstLine="420" w:firstLineChars="200"/>
    </w:pPr>
    <w:rPr>
      <w:rFonts w:ascii="Calibri"/>
      <w:sz w:val="20"/>
      <w:szCs w:val="20"/>
    </w:rPr>
  </w:style>
  <w:style w:type="paragraph" w:styleId="15">
    <w:name w:val="toc 7"/>
    <w:basedOn w:val="1"/>
    <w:next w:val="1"/>
    <w:qFormat/>
    <w:uiPriority w:val="0"/>
    <w:pPr>
      <w:ind w:left="1440"/>
    </w:pPr>
    <w:rPr>
      <w:rFonts w:ascii="Calibri" w:cs="Calibri"/>
      <w:sz w:val="18"/>
      <w:szCs w:val="18"/>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1">
    <w:name w:val="annotation text"/>
    <w:basedOn w:val="1"/>
    <w:link w:val="183"/>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next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1"/>
    <w:next w:val="21"/>
    <w:qFormat/>
    <w:uiPriority w:val="0"/>
    <w:rPr>
      <w:b/>
      <w:bCs/>
    </w:rPr>
  </w:style>
  <w:style w:type="paragraph" w:styleId="50">
    <w:name w:val="Body Text First Indent 2"/>
    <w:basedOn w:val="23"/>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7"/>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5"/>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8"/>
    <w:qFormat/>
    <w:uiPriority w:val="0"/>
    <w:rPr>
      <w:rFonts w:eastAsia="宋体"/>
      <w:lang w:val="en-US" w:eastAsia="zh-CN" w:bidi="ar-SA"/>
    </w:rPr>
  </w:style>
  <w:style w:type="character" w:customStyle="1" w:styleId="77">
    <w:name w:val="纯文本 字符"/>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5"/>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40"/>
    <w:qFormat/>
    <w:uiPriority w:val="0"/>
    <w:rPr>
      <w:rFonts w:ascii="Arial" w:hAnsi="Arial"/>
      <w:b/>
      <w:kern w:val="28"/>
      <w:sz w:val="32"/>
    </w:rPr>
  </w:style>
  <w:style w:type="character" w:customStyle="1" w:styleId="90">
    <w:name w:val="页脚 字符"/>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5"/>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5"/>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6"/>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9"/>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6"/>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7"/>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6"/>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8"/>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5"/>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7"/>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6"/>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9"/>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6"/>
    <w:next w:val="16"/>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7"/>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6"/>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21"/>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 w:type="character" w:customStyle="1" w:styleId="186">
    <w:name w:val="font121"/>
    <w:basedOn w:val="53"/>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7">
    <w:name w:val="font112"/>
    <w:basedOn w:val="53"/>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8">
    <w:name w:val="font131"/>
    <w:basedOn w:val="53"/>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89">
    <w:name w:val="font291"/>
    <w:basedOn w:val="53"/>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0">
    <w:name w:val="font301"/>
    <w:basedOn w:val="53"/>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1">
    <w:name w:val="修订1"/>
    <w:hidden/>
    <w:semiHidden/>
    <w:qFormat/>
    <w:uiPriority w:val="99"/>
    <w:rPr>
      <w:rFonts w:ascii="宋体" w:hAnsi="Calibri" w:eastAsia="宋体" w:cs="宋体"/>
      <w:sz w:val="24"/>
      <w:szCs w:val="24"/>
      <w:lang w:val="en-US" w:eastAsia="zh-CN" w:bidi="ar-SA"/>
    </w:rPr>
  </w:style>
  <w:style w:type="character" w:customStyle="1" w:styleId="192">
    <w:name w:val="font51"/>
    <w:basedOn w:val="53"/>
    <w:qFormat/>
    <w:uiPriority w:val="0"/>
    <w:rPr>
      <w:rFonts w:hint="eastAsia" w:ascii="宋体" w:hAnsi="宋体" w:eastAsia="宋体" w:cs="宋体"/>
      <w:color w:val="000000"/>
      <w:sz w:val="20"/>
      <w:szCs w:val="20"/>
      <w:u w:val="none"/>
    </w:rPr>
  </w:style>
  <w:style w:type="paragraph" w:customStyle="1" w:styleId="193">
    <w:name w:val="Body text|1"/>
    <w:basedOn w:val="1"/>
    <w:qFormat/>
    <w:uiPriority w:val="0"/>
    <w:pPr>
      <w:spacing w:line="454" w:lineRule="auto"/>
    </w:pPr>
    <w:rPr>
      <w:rFonts w:hAnsi="宋体"/>
      <w:lang w:val="zh-TW" w:eastAsia="zh-TW" w:bidi="zh-TW"/>
    </w:rPr>
  </w:style>
  <w:style w:type="character" w:customStyle="1" w:styleId="194">
    <w:name w:val="font41"/>
    <w:basedOn w:val="53"/>
    <w:qFormat/>
    <w:uiPriority w:val="0"/>
    <w:rPr>
      <w:rFonts w:hint="eastAsia" w:ascii="微软雅黑" w:hAnsi="微软雅黑" w:eastAsia="微软雅黑" w:cs="微软雅黑"/>
      <w:i/>
      <w:iCs/>
      <w:color w:val="000000"/>
      <w:sz w:val="22"/>
      <w:szCs w:val="22"/>
      <w:u w:val="none"/>
    </w:rPr>
  </w:style>
  <w:style w:type="paragraph" w:customStyle="1" w:styleId="195">
    <w:name w:val="HtmlNormal"/>
    <w:basedOn w:val="1"/>
    <w:qFormat/>
    <w:uiPriority w:val="0"/>
    <w:pPr>
      <w:widowControl/>
      <w:autoSpaceDE/>
      <w:autoSpaceDN/>
      <w:spacing w:before="100" w:beforeAutospacing="1" w:after="100" w:afterAutospacing="1"/>
      <w:textAlignment w:val="baseline"/>
    </w:pPr>
    <w:rPr>
      <w:rFonts w:hAnsi="宋体"/>
      <w:sz w:val="15"/>
      <w:szCs w:val="15"/>
    </w:rPr>
  </w:style>
  <w:style w:type="character" w:customStyle="1" w:styleId="196">
    <w:name w:val="NormalCharacter"/>
    <w:qFormat/>
    <w:uiPriority w:val="0"/>
    <w:rPr>
      <w:rFonts w:ascii="宋体"/>
      <w:sz w:val="24"/>
      <w:szCs w:val="24"/>
      <w:lang w:val="en-US" w:eastAsia="zh-CN" w:bidi="ar-SA"/>
    </w:rPr>
  </w:style>
  <w:style w:type="paragraph" w:customStyle="1" w:styleId="197">
    <w:name w:val="列出段落2"/>
    <w:basedOn w:val="1"/>
    <w:qFormat/>
    <w:uiPriority w:val="0"/>
    <w:pPr>
      <w:autoSpaceDE/>
      <w:autoSpaceDN/>
      <w:adjustRightInd/>
      <w:ind w:firstLine="420" w:firstLineChars="200"/>
      <w:jc w:val="both"/>
    </w:pPr>
    <w:rPr>
      <w:rFonts w:ascii="Calibri"/>
      <w:kern w:val="2"/>
      <w:sz w:val="21"/>
    </w:rPr>
  </w:style>
  <w:style w:type="character" w:customStyle="1" w:styleId="198">
    <w:name w:val="font11"/>
    <w:basedOn w:val="53"/>
    <w:qFormat/>
    <w:uiPriority w:val="0"/>
    <w:rPr>
      <w:rFonts w:hint="eastAsia" w:ascii="宋体" w:hAnsi="宋体" w:eastAsia="宋体" w:cs="宋体"/>
      <w:color w:val="000000"/>
      <w:sz w:val="20"/>
      <w:szCs w:val="20"/>
      <w:u w:val="none"/>
    </w:rPr>
  </w:style>
  <w:style w:type="character" w:customStyle="1" w:styleId="199">
    <w:name w:val="font21"/>
    <w:basedOn w:val="53"/>
    <w:qFormat/>
    <w:uiPriority w:val="0"/>
    <w:rPr>
      <w:rFonts w:hint="eastAsia" w:ascii="宋体" w:hAnsi="宋体" w:eastAsia="宋体" w:cs="宋体"/>
      <w:b/>
      <w:bCs/>
      <w:color w:val="000000"/>
      <w:sz w:val="20"/>
      <w:szCs w:val="20"/>
      <w:u w:val="none"/>
    </w:rPr>
  </w:style>
  <w:style w:type="character" w:customStyle="1" w:styleId="200">
    <w:name w:val="font31"/>
    <w:basedOn w:val="53"/>
    <w:qFormat/>
    <w:uiPriority w:val="0"/>
    <w:rPr>
      <w:rFonts w:hint="eastAsia" w:ascii="宋体" w:hAnsi="宋体" w:eastAsia="宋体" w:cs="宋体"/>
      <w:b/>
      <w:bCs/>
      <w:color w:val="000000"/>
      <w:sz w:val="20"/>
      <w:szCs w:val="20"/>
      <w:u w:val="none"/>
    </w:rPr>
  </w:style>
  <w:style w:type="paragraph" w:customStyle="1" w:styleId="201">
    <w:name w:val="样式 首行缩进:  0 字符"/>
    <w:basedOn w:val="1"/>
    <w:qFormat/>
    <w:uiPriority w:val="0"/>
    <w:pPr>
      <w:widowControl/>
      <w:ind w:firstLine="200" w:firstLineChars="200"/>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66</Pages>
  <Words>34415</Words>
  <Characters>36332</Characters>
  <Lines>259</Lines>
  <Paragraphs>72</Paragraphs>
  <TotalTime>0</TotalTime>
  <ScaleCrop>false</ScaleCrop>
  <LinksUpToDate>false</LinksUpToDate>
  <CharactersWithSpaces>37612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2023-04-23T09:10:00Z</dcterms:created>
  <dc:creator>lyy</dc:creator>
  <cp:lastModifiedBy>WY</cp:lastModifiedBy>
  <cp:lastPrinted>2023-04-24T02:48:00Z</cp:lastPrinted>
  <dcterms:modified xsi:type="dcterms:W3CDTF">2023-04-28T07:26:20Z</dcterms:modified>
  <dc:title>货物公开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2B3E92F51D4E446BA357B3A4427A8A52_13</vt:lpwstr>
  </property>
</Properties>
</file>